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sz w:val="24"/>
        </w:rPr>
      </w:pPr>
      <w:r>
        <w:rPr>
          <w:rFonts w:hint="eastAsia" w:ascii="黑体" w:hAnsi="黑体" w:eastAsia="黑体"/>
          <w:sz w:val="24"/>
        </w:rPr>
        <w:t xml:space="preserve">ICS </w:t>
      </w:r>
      <w:r>
        <w:rPr>
          <w:rFonts w:ascii="黑体" w:hAnsi="黑体" w:eastAsia="黑体"/>
          <w:sz w:val="24"/>
        </w:rPr>
        <w:t>XX</w:t>
      </w:r>
      <w:r>
        <w:rPr>
          <w:rFonts w:hint="eastAsia" w:ascii="黑体" w:hAnsi="黑体" w:eastAsia="黑体"/>
          <w:sz w:val="24"/>
        </w:rPr>
        <w:t>.</w:t>
      </w:r>
      <w:r>
        <w:rPr>
          <w:rFonts w:ascii="黑体" w:hAnsi="黑体" w:eastAsia="黑体"/>
          <w:sz w:val="24"/>
        </w:rPr>
        <w:t>XXX</w:t>
      </w:r>
      <w:r>
        <w:rPr>
          <w:rFonts w:hint="eastAsia" w:ascii="黑体" w:hAnsi="黑体" w:eastAsia="黑体"/>
          <w:sz w:val="24"/>
        </w:rPr>
        <w:t>.</w:t>
      </w:r>
      <w:r>
        <w:rPr>
          <w:rFonts w:ascii="黑体" w:hAnsi="黑体" w:eastAsia="黑体"/>
          <w:sz w:val="24"/>
        </w:rPr>
        <w:t>XX</w:t>
      </w:r>
    </w:p>
    <w:p>
      <w:pPr>
        <w:jc w:val="left"/>
        <w:rPr>
          <w:rFonts w:ascii="黑体" w:hAnsi="黑体" w:eastAsia="黑体"/>
          <w:sz w:val="24"/>
        </w:rPr>
      </w:pPr>
      <w:r>
        <w:rPr>
          <w:rFonts w:hint="eastAsia" w:ascii="黑体" w:hAnsi="黑体" w:eastAsia="黑体"/>
          <w:sz w:val="24"/>
        </w:rPr>
        <w:t>中国标准文献分类号</w:t>
      </w:r>
    </w:p>
    <w:p>
      <w:pPr>
        <w:jc w:val="left"/>
        <w:rPr>
          <w:rFonts w:ascii="黑体" w:hAnsi="黑体" w:eastAsia="黑体"/>
          <w:sz w:val="24"/>
        </w:rPr>
      </w:pPr>
    </w:p>
    <w:p>
      <w:pPr>
        <w:jc w:val="center"/>
        <w:rPr>
          <w:rFonts w:ascii="黑体" w:hAnsi="黑体" w:eastAsia="黑体"/>
          <w:b/>
          <w:sz w:val="72"/>
          <w:szCs w:val="72"/>
        </w:rPr>
      </w:pPr>
      <w:r>
        <w:rPr>
          <w:rFonts w:ascii="黑体" w:hAnsi="黑体" w:eastAsia="黑体"/>
          <w:b/>
          <w:sz w:val="72"/>
          <w:szCs w:val="72"/>
        </w:rPr>
        <w:t>团</w:t>
      </w:r>
      <w:r>
        <w:rPr>
          <w:rFonts w:hint="eastAsia" w:ascii="黑体" w:hAnsi="黑体" w:eastAsia="黑体"/>
          <w:b/>
          <w:sz w:val="72"/>
          <w:szCs w:val="72"/>
        </w:rPr>
        <w:t xml:space="preserve">    </w:t>
      </w:r>
      <w:r>
        <w:rPr>
          <w:rFonts w:ascii="黑体" w:hAnsi="黑体" w:eastAsia="黑体"/>
          <w:b/>
          <w:sz w:val="72"/>
          <w:szCs w:val="72"/>
        </w:rPr>
        <w:t>体</w:t>
      </w:r>
      <w:r>
        <w:rPr>
          <w:rFonts w:hint="eastAsia" w:ascii="黑体" w:hAnsi="黑体" w:eastAsia="黑体"/>
          <w:b/>
          <w:sz w:val="72"/>
          <w:szCs w:val="72"/>
        </w:rPr>
        <w:t xml:space="preserve">    </w:t>
      </w:r>
      <w:r>
        <w:rPr>
          <w:rFonts w:ascii="黑体" w:hAnsi="黑体" w:eastAsia="黑体"/>
          <w:b/>
          <w:sz w:val="72"/>
          <w:szCs w:val="72"/>
        </w:rPr>
        <w:t>标</w:t>
      </w:r>
      <w:r>
        <w:rPr>
          <w:rFonts w:hint="eastAsia" w:ascii="黑体" w:hAnsi="黑体" w:eastAsia="黑体"/>
          <w:b/>
          <w:sz w:val="72"/>
          <w:szCs w:val="72"/>
        </w:rPr>
        <w:t xml:space="preserve">    </w:t>
      </w:r>
      <w:r>
        <w:rPr>
          <w:rFonts w:ascii="黑体" w:hAnsi="黑体" w:eastAsia="黑体"/>
          <w:b/>
          <w:sz w:val="72"/>
          <w:szCs w:val="72"/>
        </w:rPr>
        <w:t>准</w:t>
      </w:r>
    </w:p>
    <w:p>
      <w:pPr>
        <w:wordWrap w:val="0"/>
        <w:jc w:val="right"/>
        <w:rPr>
          <w:rFonts w:ascii="黑体" w:hAnsi="黑体" w:eastAsia="黑体"/>
          <w:sz w:val="24"/>
        </w:rPr>
      </w:pPr>
      <w:r>
        <w:rPr>
          <w:rFonts w:ascii="黑体" w:hAnsi="黑体" w:eastAsia="黑体"/>
          <w:sz w:val="24"/>
        </w:rPr>
        <w:t>T/</w:t>
      </w:r>
      <w:r>
        <w:rPr>
          <w:rFonts w:hint="eastAsia" w:ascii="黑体" w:hAnsi="黑体" w:eastAsia="黑体"/>
          <w:sz w:val="24"/>
        </w:rPr>
        <w:t>CNPA X</w:t>
      </w:r>
      <w:r>
        <w:rPr>
          <w:rFonts w:ascii="黑体" w:hAnsi="黑体" w:eastAsia="黑体"/>
          <w:sz w:val="24"/>
        </w:rPr>
        <w:t>XX</w:t>
      </w:r>
      <w:r>
        <w:rPr>
          <w:rFonts w:hint="eastAsia" w:ascii="黑体" w:hAnsi="黑体" w:eastAsia="黑体"/>
          <w:sz w:val="24"/>
        </w:rPr>
        <w:t>-</w:t>
      </w:r>
      <w:r>
        <w:rPr>
          <w:rFonts w:ascii="黑体" w:hAnsi="黑体" w:eastAsia="黑体"/>
          <w:sz w:val="24"/>
        </w:rPr>
        <w:t>202</w:t>
      </w:r>
      <w:r>
        <w:rPr>
          <w:rFonts w:hint="eastAsia" w:ascii="黑体" w:hAnsi="黑体" w:eastAsia="黑体"/>
          <w:sz w:val="24"/>
        </w:rPr>
        <w:t>1</w:t>
      </w:r>
    </w:p>
    <w:p>
      <w:pPr>
        <w:pBdr>
          <w:bottom w:val="single" w:color="auto" w:sz="8" w:space="1"/>
        </w:pBdr>
        <w:jc w:val="right"/>
        <w:rPr>
          <w:rFonts w:ascii="黑体" w:hAnsi="黑体" w:eastAsia="黑体"/>
          <w:sz w:val="24"/>
        </w:rPr>
      </w:pPr>
    </w:p>
    <w:p>
      <w:pPr>
        <w:spacing w:line="480" w:lineRule="auto"/>
        <w:rPr>
          <w:b/>
          <w:sz w:val="72"/>
        </w:rPr>
      </w:pPr>
    </w:p>
    <w:p>
      <w:pPr>
        <w:jc w:val="center"/>
        <w:rPr>
          <w:rFonts w:ascii="黑体" w:hAnsi="黑体" w:eastAsia="黑体"/>
          <w:b/>
          <w:sz w:val="48"/>
        </w:rPr>
      </w:pPr>
      <w:r>
        <w:rPr>
          <w:rFonts w:hint="eastAsia" w:ascii="黑体" w:hAnsi="黑体" w:eastAsia="黑体"/>
          <w:b/>
          <w:sz w:val="48"/>
        </w:rPr>
        <w:t>风景名胜区</w:t>
      </w:r>
      <w:r>
        <w:rPr>
          <w:rFonts w:ascii="黑体" w:hAnsi="黑体" w:eastAsia="黑体"/>
          <w:b/>
          <w:sz w:val="48"/>
        </w:rPr>
        <w:t>门票系统</w:t>
      </w:r>
      <w:r>
        <w:rPr>
          <w:rFonts w:hint="eastAsia" w:ascii="黑体" w:hAnsi="黑体" w:eastAsia="黑体"/>
          <w:b/>
          <w:sz w:val="48"/>
        </w:rPr>
        <w:t>技术规范</w:t>
      </w:r>
    </w:p>
    <w:p>
      <w:pPr>
        <w:jc w:val="center"/>
        <w:rPr>
          <w:b/>
          <w:sz w:val="28"/>
          <w:szCs w:val="28"/>
        </w:rPr>
      </w:pPr>
      <w:r>
        <w:rPr>
          <w:b/>
          <w:sz w:val="28"/>
          <w:szCs w:val="28"/>
        </w:rPr>
        <w:t xml:space="preserve">Technical specification for ticket system of </w:t>
      </w:r>
      <w:r>
        <w:rPr>
          <w:rFonts w:hint="eastAsia"/>
          <w:b/>
          <w:sz w:val="28"/>
          <w:szCs w:val="28"/>
        </w:rPr>
        <w:t>National</w:t>
      </w:r>
      <w:r>
        <w:rPr>
          <w:b/>
          <w:sz w:val="28"/>
          <w:szCs w:val="28"/>
        </w:rPr>
        <w:t xml:space="preserve"> </w:t>
      </w:r>
      <w:r>
        <w:rPr>
          <w:rFonts w:hint="eastAsia"/>
          <w:b/>
          <w:sz w:val="28"/>
          <w:szCs w:val="28"/>
        </w:rPr>
        <w:t>Park</w:t>
      </w:r>
    </w:p>
    <w:p>
      <w:pPr>
        <w:pStyle w:val="51"/>
        <w:framePr w:x="1339" w:y="6261"/>
        <w:ind w:left="0" w:leftChars="0" w:firstLine="0" w:firstLineChars="0"/>
        <w:rPr>
          <w:rFonts w:hint="eastAsia" w:ascii="Times New Roman" w:eastAsia="宋体"/>
          <w:lang w:eastAsia="zh-CN"/>
        </w:rPr>
      </w:pPr>
      <w:r>
        <w:rPr>
          <w:rFonts w:hint="eastAsia" w:ascii="Times New Roman"/>
          <w:lang w:eastAsia="zh-CN"/>
        </w:rPr>
        <w:t>（</w:t>
      </w:r>
      <w:r>
        <w:rPr>
          <w:rFonts w:hint="eastAsia" w:ascii="Times New Roman"/>
          <w:lang w:val="en-US" w:eastAsia="zh-CN"/>
        </w:rPr>
        <w:t>征求意见稿</w:t>
      </w:r>
      <w:bookmarkStart w:id="314" w:name="_GoBack"/>
      <w:bookmarkEnd w:id="314"/>
      <w:r>
        <w:rPr>
          <w:rFonts w:hint="eastAsia" w:ascii="Times New Roman"/>
          <w:lang w:eastAsia="zh-CN"/>
        </w:rPr>
        <w:t>）</w:t>
      </w:r>
    </w:p>
    <w:p>
      <w:pPr>
        <w:pBdr>
          <w:bottom w:val="single" w:color="auto" w:sz="12" w:space="0"/>
        </w:pBdr>
        <w:jc w:val="left"/>
        <w:rPr>
          <w:rFonts w:ascii="黑体" w:hAnsi="黑体" w:eastAsia="黑体"/>
          <w:sz w:val="28"/>
        </w:rPr>
      </w:pPr>
      <w:r>
        <w:rPr>
          <w:rFonts w:hint="eastAsia" w:ascii="黑体" w:hAnsi="黑体" w:eastAsia="黑体"/>
          <w:sz w:val="28"/>
        </w:rPr>
        <w:t>2021-</w:t>
      </w:r>
      <w:r>
        <w:rPr>
          <w:rFonts w:ascii="黑体" w:hAnsi="黑体" w:eastAsia="黑体"/>
          <w:sz w:val="28"/>
        </w:rPr>
        <w:t>X</w:t>
      </w:r>
      <w:r>
        <w:rPr>
          <w:rFonts w:hint="eastAsia" w:ascii="黑体" w:hAnsi="黑体" w:eastAsia="黑体"/>
          <w:sz w:val="28"/>
        </w:rPr>
        <w:t>X</w:t>
      </w:r>
      <w:r>
        <w:rPr>
          <w:rFonts w:ascii="黑体" w:hAnsi="黑体" w:eastAsia="黑体"/>
          <w:sz w:val="28"/>
        </w:rPr>
        <w:t>-</w:t>
      </w:r>
      <w:r>
        <w:rPr>
          <w:rFonts w:hint="eastAsia" w:ascii="黑体" w:hAnsi="黑体" w:eastAsia="黑体"/>
          <w:sz w:val="28"/>
        </w:rPr>
        <w:t xml:space="preserve">XX发布                    </w:t>
      </w:r>
      <w:r>
        <w:rPr>
          <w:rFonts w:ascii="黑体" w:hAnsi="黑体" w:eastAsia="黑体"/>
          <w:sz w:val="28"/>
        </w:rPr>
        <w:t xml:space="preserve">          </w:t>
      </w:r>
      <w:r>
        <w:rPr>
          <w:rFonts w:hint="eastAsia" w:ascii="黑体" w:hAnsi="黑体" w:eastAsia="黑体"/>
          <w:sz w:val="28"/>
        </w:rPr>
        <w:t>2021</w:t>
      </w:r>
      <w:r>
        <w:rPr>
          <w:rFonts w:ascii="黑体" w:hAnsi="黑体" w:eastAsia="黑体"/>
          <w:sz w:val="28"/>
        </w:rPr>
        <w:t>-XX-XX</w:t>
      </w:r>
      <w:r>
        <w:rPr>
          <w:rFonts w:hint="eastAsia" w:ascii="黑体" w:hAnsi="黑体" w:eastAsia="黑体"/>
          <w:sz w:val="28"/>
        </w:rPr>
        <w:t>实施</w:t>
      </w:r>
    </w:p>
    <w:p>
      <w:pPr>
        <w:jc w:val="center"/>
        <w:rPr>
          <w:rFonts w:ascii="黑体" w:hAnsi="黑体" w:eastAsia="黑体"/>
          <w:sz w:val="28"/>
        </w:rPr>
        <w:sectPr>
          <w:headerReference r:id="rId4" w:type="first"/>
          <w:headerReference r:id="rId3" w:type="default"/>
          <w:footerReference r:id="rId5" w:type="default"/>
          <w:pgSz w:w="11906" w:h="16838"/>
          <w:pgMar w:top="1440" w:right="1800" w:bottom="1440" w:left="1800" w:header="851" w:footer="992" w:gutter="0"/>
          <w:cols w:space="720" w:num="1"/>
          <w:docGrid w:type="lines" w:linePitch="312" w:charSpace="0"/>
        </w:sectPr>
      </w:pPr>
      <w:r>
        <w:rPr>
          <w:rFonts w:hint="eastAsia" w:ascii="黑体" w:hAnsi="黑体" w:eastAsia="黑体"/>
          <w:sz w:val="32"/>
          <w:szCs w:val="32"/>
        </w:rPr>
        <w:t>中国风景名胜区协会</w:t>
      </w:r>
      <w:r>
        <w:rPr>
          <w:rFonts w:hint="eastAsia" w:ascii="黑体" w:hAnsi="黑体" w:eastAsia="黑体"/>
          <w:sz w:val="28"/>
        </w:rPr>
        <w:t xml:space="preserve"> </w:t>
      </w:r>
      <w:r>
        <w:rPr>
          <w:rFonts w:ascii="黑体" w:hAnsi="黑体" w:eastAsia="黑体"/>
          <w:sz w:val="28"/>
        </w:rPr>
        <w:t xml:space="preserve"> </w:t>
      </w:r>
      <w:r>
        <w:rPr>
          <w:rFonts w:hint="eastAsia" w:ascii="黑体" w:hAnsi="黑体" w:eastAsia="黑体"/>
          <w:sz w:val="32"/>
          <w:szCs w:val="32"/>
        </w:rPr>
        <w:t>发布</w:t>
      </w:r>
    </w:p>
    <w:p>
      <w:pPr>
        <w:pStyle w:val="12"/>
        <w:tabs>
          <w:tab w:val="right" w:pos="8290"/>
        </w:tabs>
        <w:jc w:val="center"/>
        <w:rPr>
          <w:rFonts w:ascii="黑体" w:hAnsi="Times New Roman" w:eastAsia="黑体" w:cs="Times New Roman"/>
          <w:kern w:val="0"/>
          <w:sz w:val="32"/>
        </w:rPr>
      </w:pPr>
      <w:bookmarkStart w:id="0" w:name="BKML"/>
      <w:bookmarkStart w:id="1" w:name="_Toc47355895"/>
      <w:bookmarkStart w:id="2" w:name="_Toc496532818"/>
      <w:r>
        <w:rPr>
          <w:rFonts w:hAnsi="黑体"/>
        </w:rPr>
        <w:t> </w:t>
      </w:r>
      <w:bookmarkEnd w:id="0"/>
      <w:bookmarkEnd w:id="1"/>
      <w:r>
        <w:rPr>
          <w:rFonts w:hint="eastAsia" w:ascii="黑体" w:hAnsi="Times New Roman" w:eastAsia="黑体" w:cs="Times New Roman"/>
          <w:kern w:val="0"/>
          <w:sz w:val="32"/>
        </w:rPr>
        <w:t>目</w:t>
      </w:r>
      <w:r>
        <w:rPr>
          <w:rFonts w:hint="eastAsia" w:ascii="黑体" w:hAnsi="Times New Roman" w:eastAsia="黑体" w:cs="Times New Roman"/>
          <w:b w:val="0"/>
          <w:bCs w:val="0"/>
          <w:caps w:val="0"/>
          <w:kern w:val="0"/>
          <w:sz w:val="32"/>
        </w:rPr>
        <w:t xml:space="preserve">    </w:t>
      </w:r>
      <w:r>
        <w:rPr>
          <w:rFonts w:hint="eastAsia" w:ascii="黑体" w:hAnsi="Times New Roman" w:eastAsia="黑体" w:cs="Times New Roman"/>
          <w:kern w:val="0"/>
          <w:sz w:val="32"/>
        </w:rPr>
        <w:t>次</w:t>
      </w:r>
    </w:p>
    <w:p/>
    <w:p>
      <w:pPr>
        <w:pStyle w:val="12"/>
        <w:tabs>
          <w:tab w:val="right" w:leader="dot" w:pos="8290"/>
        </w:tabs>
        <w:spacing w:before="0" w:after="0"/>
        <w:rPr>
          <w:rFonts w:ascii="宋体" w:hAnsi="宋体" w:cs="Times New Roman"/>
          <w:b w:val="0"/>
          <w:bCs w:val="0"/>
          <w:caps w:val="0"/>
          <w:sz w:val="21"/>
          <w:szCs w:val="21"/>
        </w:rPr>
      </w:pPr>
      <w:r>
        <w:rPr>
          <w:rFonts w:ascii="宋体" w:hAnsi="宋体"/>
          <w:b w:val="0"/>
          <w:bCs w:val="0"/>
          <w:caps w:val="0"/>
          <w:sz w:val="21"/>
          <w:szCs w:val="21"/>
          <w:lang w:val="zh-CN"/>
        </w:rPr>
        <w:fldChar w:fldCharType="begin"/>
      </w:r>
      <w:r>
        <w:rPr>
          <w:rFonts w:ascii="宋体" w:hAnsi="宋体"/>
          <w:b w:val="0"/>
          <w:bCs w:val="0"/>
          <w:caps w:val="0"/>
          <w:sz w:val="21"/>
          <w:szCs w:val="21"/>
          <w:lang w:val="zh-CN"/>
        </w:rPr>
        <w:instrText xml:space="preserve"> TOC \o "1-2" \h \z \u </w:instrText>
      </w:r>
      <w:r>
        <w:rPr>
          <w:rFonts w:ascii="宋体" w:hAnsi="宋体"/>
          <w:b w:val="0"/>
          <w:bCs w:val="0"/>
          <w:caps w:val="0"/>
          <w:sz w:val="21"/>
          <w:szCs w:val="21"/>
          <w:lang w:val="zh-CN"/>
        </w:rPr>
        <w:fldChar w:fldCharType="separate"/>
      </w:r>
      <w:r>
        <w:fldChar w:fldCharType="begin"/>
      </w:r>
      <w:r>
        <w:instrText xml:space="preserve"> HYPERLINK \l "_Toc57293257" </w:instrText>
      </w:r>
      <w:r>
        <w:fldChar w:fldCharType="separate"/>
      </w:r>
      <w:r>
        <w:rPr>
          <w:rStyle w:val="19"/>
          <w:rFonts w:hint="eastAsia" w:ascii="宋体" w:hAnsi="宋体"/>
          <w:b w:val="0"/>
          <w:color w:val="auto"/>
          <w:sz w:val="21"/>
        </w:rPr>
        <w:t>前言</w:t>
      </w:r>
      <w:r>
        <w:rPr>
          <w:rFonts w:ascii="宋体" w:hAnsi="宋体"/>
          <w:b w:val="0"/>
          <w:sz w:val="21"/>
          <w:szCs w:val="21"/>
        </w:rPr>
        <w:tab/>
      </w:r>
      <w:r>
        <w:rPr>
          <w:rFonts w:ascii="宋体" w:hAnsi="宋体"/>
          <w:b w:val="0"/>
          <w:sz w:val="21"/>
          <w:szCs w:val="21"/>
        </w:rPr>
        <w:fldChar w:fldCharType="begin"/>
      </w:r>
      <w:r>
        <w:rPr>
          <w:rFonts w:ascii="宋体" w:hAnsi="宋体"/>
          <w:b w:val="0"/>
          <w:sz w:val="21"/>
          <w:szCs w:val="21"/>
        </w:rPr>
        <w:instrText xml:space="preserve"> PAGEREF _Toc57293257 \h </w:instrText>
      </w:r>
      <w:r>
        <w:rPr>
          <w:rFonts w:ascii="宋体" w:hAnsi="宋体"/>
          <w:b w:val="0"/>
          <w:sz w:val="21"/>
          <w:szCs w:val="21"/>
        </w:rPr>
        <w:fldChar w:fldCharType="separate"/>
      </w:r>
      <w:r>
        <w:rPr>
          <w:rFonts w:ascii="宋体" w:hAnsi="宋体"/>
          <w:b w:val="0"/>
          <w:sz w:val="21"/>
          <w:szCs w:val="21"/>
        </w:rPr>
        <w:t>II</w:t>
      </w:r>
      <w:r>
        <w:rPr>
          <w:rFonts w:ascii="宋体" w:hAnsi="宋体"/>
          <w:b w:val="0"/>
          <w:sz w:val="21"/>
          <w:szCs w:val="21"/>
        </w:rPr>
        <w:fldChar w:fldCharType="end"/>
      </w:r>
      <w:r>
        <w:rPr>
          <w:rFonts w:ascii="宋体" w:hAnsi="宋体"/>
          <w:b w:val="0"/>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"_Toc57293259" </w:instrText>
      </w:r>
      <w:r>
        <w:fldChar w:fldCharType="separate"/>
      </w:r>
      <w:r>
        <w:rPr>
          <w:rStyle w:val="19"/>
          <w:rFonts w:ascii="宋体" w:hAnsi="宋体"/>
          <w:color w:val="auto"/>
          <w:sz w:val="21"/>
        </w:rPr>
        <w:t>1</w:t>
      </w:r>
      <w:r>
        <w:rPr>
          <w:rStyle w:val="19"/>
          <w:rFonts w:hint="eastAsia" w:ascii="宋体" w:hAnsi="宋体"/>
          <w:color w:val="auto"/>
          <w:sz w:val="21"/>
        </w:rPr>
        <w:t xml:space="preserve"> 范围</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_Toc57293259 \h </w:instrText>
      </w:r>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r>
        <w:rPr>
          <w:rFonts w:ascii="宋体" w:hAnsi="宋体"/>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"_Toc57293260" </w:instrText>
      </w:r>
      <w:r>
        <w:fldChar w:fldCharType="separate"/>
      </w:r>
      <w:r>
        <w:rPr>
          <w:rStyle w:val="19"/>
          <w:rFonts w:ascii="宋体" w:hAnsi="宋体"/>
          <w:color w:val="auto"/>
          <w:sz w:val="21"/>
        </w:rPr>
        <w:t>2</w:t>
      </w:r>
      <w:r>
        <w:rPr>
          <w:rStyle w:val="19"/>
          <w:rFonts w:hint="eastAsia" w:ascii="宋体" w:hAnsi="宋体"/>
          <w:color w:val="auto"/>
          <w:sz w:val="21"/>
        </w:rPr>
        <w:t xml:space="preserve"> 规范性引用文件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_Toc57293260 \h </w:instrText>
      </w:r>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r>
        <w:rPr>
          <w:rFonts w:ascii="宋体" w:hAnsi="宋体"/>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"_Toc57293261" </w:instrText>
      </w:r>
      <w:r>
        <w:fldChar w:fldCharType="separate"/>
      </w:r>
      <w:r>
        <w:rPr>
          <w:rStyle w:val="19"/>
          <w:rFonts w:ascii="宋体" w:hAnsi="宋体"/>
          <w:color w:val="auto"/>
          <w:sz w:val="21"/>
        </w:rPr>
        <w:t>3</w:t>
      </w:r>
      <w:r>
        <w:rPr>
          <w:rStyle w:val="19"/>
          <w:rFonts w:hint="eastAsia" w:ascii="宋体" w:hAnsi="宋体"/>
          <w:color w:val="auto"/>
          <w:sz w:val="21"/>
        </w:rPr>
        <w:t xml:space="preserve"> 术语和定义</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_Toc57293261 \h </w:instrText>
      </w:r>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r>
        <w:rPr>
          <w:rFonts w:ascii="宋体" w:hAnsi="宋体"/>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"_Toc57293266" </w:instrText>
      </w:r>
      <w:r>
        <w:fldChar w:fldCharType="separate"/>
      </w:r>
      <w:r>
        <w:rPr>
          <w:rStyle w:val="19"/>
          <w:rFonts w:ascii="宋体" w:hAnsi="宋体"/>
          <w:color w:val="auto"/>
          <w:sz w:val="21"/>
          <w:lang w:bidi="ar"/>
        </w:rPr>
        <w:t>4</w:t>
      </w:r>
      <w:r>
        <w:rPr>
          <w:rStyle w:val="19"/>
          <w:rFonts w:hint="eastAsia" w:ascii="宋体" w:hAnsi="宋体"/>
          <w:color w:val="auto"/>
          <w:sz w:val="21"/>
          <w:lang w:bidi="ar"/>
        </w:rPr>
        <w:t xml:space="preserve"> 缩略语</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_Toc57293266 \h </w:instrText>
      </w:r>
      <w:r>
        <w:rPr>
          <w:rFonts w:ascii="宋体" w:hAnsi="宋体"/>
          <w:sz w:val="21"/>
          <w:szCs w:val="21"/>
        </w:rPr>
        <w:fldChar w:fldCharType="separate"/>
      </w:r>
      <w:r>
        <w:rPr>
          <w:rFonts w:ascii="宋体" w:hAnsi="宋体"/>
          <w:sz w:val="21"/>
          <w:szCs w:val="21"/>
        </w:rPr>
        <w:t>3</w:t>
      </w:r>
      <w:r>
        <w:rPr>
          <w:rFonts w:ascii="宋体" w:hAnsi="宋体"/>
          <w:sz w:val="21"/>
          <w:szCs w:val="21"/>
        </w:rPr>
        <w:fldChar w:fldCharType="end"/>
      </w:r>
      <w:r>
        <w:rPr>
          <w:rFonts w:ascii="宋体" w:hAnsi="宋体"/>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"_Toc57293267" </w:instrText>
      </w:r>
      <w:r>
        <w:fldChar w:fldCharType="separate"/>
      </w:r>
      <w:r>
        <w:rPr>
          <w:rStyle w:val="19"/>
          <w:rFonts w:ascii="宋体" w:hAnsi="宋体"/>
          <w:color w:val="auto"/>
          <w:sz w:val="21"/>
          <w:lang w:bidi="ar"/>
        </w:rPr>
        <w:t>5</w:t>
      </w:r>
      <w:r>
        <w:rPr>
          <w:rStyle w:val="19"/>
          <w:rFonts w:hint="eastAsia" w:ascii="宋体" w:hAnsi="宋体"/>
          <w:color w:val="auto"/>
          <w:sz w:val="21"/>
          <w:lang w:bidi="ar"/>
        </w:rPr>
        <w:t xml:space="preserve"> 门票编码规则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_Toc57293267 \h </w:instrText>
      </w:r>
      <w:r>
        <w:rPr>
          <w:rFonts w:ascii="宋体" w:hAnsi="宋体"/>
          <w:sz w:val="21"/>
          <w:szCs w:val="21"/>
        </w:rPr>
        <w:fldChar w:fldCharType="separate"/>
      </w:r>
      <w:r>
        <w:rPr>
          <w:rFonts w:ascii="宋体" w:hAnsi="宋体"/>
          <w:sz w:val="21"/>
          <w:szCs w:val="21"/>
        </w:rPr>
        <w:t>3</w:t>
      </w:r>
      <w:r>
        <w:rPr>
          <w:rFonts w:ascii="宋体" w:hAnsi="宋体"/>
          <w:sz w:val="21"/>
          <w:szCs w:val="21"/>
        </w:rPr>
        <w:fldChar w:fldCharType="end"/>
      </w:r>
      <w:r>
        <w:rPr>
          <w:rFonts w:ascii="宋体" w:hAnsi="宋体"/>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"_Toc57293268" </w:instrText>
      </w:r>
      <w:r>
        <w:fldChar w:fldCharType="separate"/>
      </w:r>
      <w:r>
        <w:rPr>
          <w:rStyle w:val="19"/>
          <w:rFonts w:ascii="宋体" w:hAnsi="宋体"/>
          <w:color w:val="auto"/>
          <w:sz w:val="21"/>
        </w:rPr>
        <w:t>6</w:t>
      </w:r>
      <w:r>
        <w:rPr>
          <w:rStyle w:val="19"/>
          <w:rFonts w:hint="eastAsia" w:ascii="宋体" w:hAnsi="宋体"/>
          <w:color w:val="auto"/>
          <w:sz w:val="21"/>
        </w:rPr>
        <w:t xml:space="preserve"> 系统结构</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_Toc57293268 \h </w:instrText>
      </w:r>
      <w:r>
        <w:rPr>
          <w:rFonts w:ascii="宋体" w:hAnsi="宋体"/>
          <w:sz w:val="21"/>
          <w:szCs w:val="21"/>
        </w:rPr>
        <w:fldChar w:fldCharType="separate"/>
      </w:r>
      <w:r>
        <w:rPr>
          <w:rFonts w:ascii="宋体" w:hAnsi="宋体"/>
          <w:sz w:val="21"/>
          <w:szCs w:val="21"/>
        </w:rPr>
        <w:t>3</w:t>
      </w:r>
      <w:r>
        <w:rPr>
          <w:rFonts w:ascii="宋体" w:hAnsi="宋体"/>
          <w:sz w:val="21"/>
          <w:szCs w:val="21"/>
        </w:rPr>
        <w:fldChar w:fldCharType="end"/>
      </w:r>
      <w:r>
        <w:rPr>
          <w:rFonts w:ascii="宋体" w:hAnsi="宋体"/>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"_Toc57293273" </w:instrText>
      </w:r>
      <w:r>
        <w:fldChar w:fldCharType="separate"/>
      </w:r>
      <w:r>
        <w:rPr>
          <w:rStyle w:val="19"/>
          <w:rFonts w:ascii="宋体" w:hAnsi="宋体"/>
          <w:color w:val="auto"/>
          <w:sz w:val="21"/>
        </w:rPr>
        <w:t>7</w:t>
      </w:r>
      <w:r>
        <w:rPr>
          <w:rStyle w:val="19"/>
          <w:rFonts w:hint="eastAsia" w:ascii="宋体" w:hAnsi="宋体"/>
          <w:color w:val="auto"/>
          <w:sz w:val="21"/>
        </w:rPr>
        <w:t xml:space="preserve"> 系统功能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_Toc57293273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"_Toc57293274" </w:instrText>
      </w:r>
      <w:r>
        <w:fldChar w:fldCharType="separate"/>
      </w:r>
      <w:r>
        <w:rPr>
          <w:rStyle w:val="19"/>
          <w:rFonts w:ascii="宋体" w:hAnsi="宋体"/>
          <w:color w:val="auto"/>
          <w:sz w:val="21"/>
        </w:rPr>
        <w:t>8</w:t>
      </w:r>
      <w:r>
        <w:rPr>
          <w:rStyle w:val="19"/>
          <w:rFonts w:hint="eastAsia" w:ascii="宋体" w:hAnsi="宋体"/>
          <w:color w:val="auto"/>
          <w:sz w:val="21"/>
        </w:rPr>
        <w:t xml:space="preserve"> 系统性能</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_Toc57293274 \h </w:instrText>
      </w:r>
      <w:r>
        <w:rPr>
          <w:rFonts w:ascii="宋体" w:hAnsi="宋体"/>
          <w:sz w:val="21"/>
          <w:szCs w:val="21"/>
        </w:rPr>
        <w:fldChar w:fldCharType="separate"/>
      </w:r>
      <w:r>
        <w:rPr>
          <w:rFonts w:ascii="宋体" w:hAnsi="宋体"/>
          <w:sz w:val="21"/>
          <w:szCs w:val="21"/>
        </w:rPr>
        <w:t>9</w:t>
      </w:r>
      <w:r>
        <w:rPr>
          <w:rFonts w:ascii="宋体" w:hAnsi="宋体"/>
          <w:sz w:val="21"/>
          <w:szCs w:val="21"/>
        </w:rPr>
        <w:fldChar w:fldCharType="end"/>
      </w:r>
      <w:r>
        <w:rPr>
          <w:rFonts w:ascii="宋体" w:hAnsi="宋体"/>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"_Toc57293275" </w:instrText>
      </w:r>
      <w:r>
        <w:fldChar w:fldCharType="separate"/>
      </w:r>
      <w:r>
        <w:rPr>
          <w:rStyle w:val="19"/>
          <w:rFonts w:ascii="宋体" w:hAnsi="宋体"/>
          <w:color w:val="auto"/>
          <w:sz w:val="21"/>
        </w:rPr>
        <w:t>9</w:t>
      </w:r>
      <w:r>
        <w:rPr>
          <w:rStyle w:val="19"/>
          <w:rFonts w:hint="eastAsia" w:ascii="宋体" w:hAnsi="宋体"/>
          <w:color w:val="auto"/>
          <w:sz w:val="21"/>
        </w:rPr>
        <w:t xml:space="preserve"> 接口</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_Toc57293275 \h </w:instrText>
      </w:r>
      <w:r>
        <w:rPr>
          <w:rFonts w:ascii="宋体" w:hAnsi="宋体"/>
          <w:sz w:val="21"/>
          <w:szCs w:val="21"/>
        </w:rPr>
        <w:fldChar w:fldCharType="separate"/>
      </w:r>
      <w:r>
        <w:rPr>
          <w:rFonts w:ascii="宋体" w:hAnsi="宋体"/>
          <w:sz w:val="21"/>
          <w:szCs w:val="21"/>
        </w:rPr>
        <w:t>10</w:t>
      </w:r>
      <w:r>
        <w:rPr>
          <w:rFonts w:ascii="宋体" w:hAnsi="宋体"/>
          <w:sz w:val="21"/>
          <w:szCs w:val="21"/>
        </w:rPr>
        <w:fldChar w:fldCharType="end"/>
      </w:r>
      <w:r>
        <w:rPr>
          <w:rFonts w:ascii="宋体" w:hAnsi="宋体"/>
          <w:sz w:val="21"/>
          <w:szCs w:val="21"/>
        </w:rPr>
        <w:fldChar w:fldCharType="end"/>
      </w:r>
    </w:p>
    <w:p>
      <w:pPr>
        <w:pStyle w:val="13"/>
        <w:tabs>
          <w:tab w:val="right" w:leader="dot" w:pos="8290"/>
        </w:tabs>
        <w:ind w:left="0"/>
        <w:rPr>
          <w:rFonts w:ascii="宋体" w:hAnsi="宋体" w:cs="Times New Roman"/>
          <w:smallCaps w:val="0"/>
          <w:sz w:val="21"/>
          <w:szCs w:val="21"/>
        </w:rPr>
      </w:pPr>
      <w:r>
        <w:fldChar w:fldCharType="begin"/>
      </w:r>
      <w:r>
        <w:instrText xml:space="preserve"> HYPERLINK \l "_Toc57293276" </w:instrText>
      </w:r>
      <w:r>
        <w:fldChar w:fldCharType="separate"/>
      </w:r>
      <w:r>
        <w:rPr>
          <w:rStyle w:val="19"/>
          <w:rFonts w:ascii="宋体" w:hAnsi="宋体"/>
          <w:color w:val="auto"/>
          <w:sz w:val="21"/>
        </w:rPr>
        <w:t>10</w:t>
      </w:r>
      <w:r>
        <w:rPr>
          <w:rStyle w:val="19"/>
          <w:rFonts w:hint="eastAsia" w:ascii="宋体" w:hAnsi="宋体"/>
          <w:color w:val="auto"/>
          <w:sz w:val="21"/>
        </w:rPr>
        <w:t xml:space="preserve"> 安全要求</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_Toc57293276 \h </w:instrText>
      </w:r>
      <w:r>
        <w:rPr>
          <w:rFonts w:ascii="宋体" w:hAnsi="宋体"/>
          <w:sz w:val="21"/>
          <w:szCs w:val="21"/>
        </w:rPr>
        <w:fldChar w:fldCharType="separate"/>
      </w:r>
      <w:r>
        <w:rPr>
          <w:rFonts w:ascii="宋体" w:hAnsi="宋体"/>
          <w:sz w:val="21"/>
          <w:szCs w:val="21"/>
        </w:rPr>
        <w:t>10</w:t>
      </w:r>
      <w:r>
        <w:rPr>
          <w:rFonts w:ascii="宋体" w:hAnsi="宋体"/>
          <w:sz w:val="21"/>
          <w:szCs w:val="21"/>
        </w:rPr>
        <w:fldChar w:fldCharType="end"/>
      </w:r>
      <w:r>
        <w:rPr>
          <w:rFonts w:ascii="宋体" w:hAnsi="宋体"/>
          <w:sz w:val="21"/>
          <w:szCs w:val="21"/>
        </w:rPr>
        <w:fldChar w:fldCharType="end"/>
      </w:r>
    </w:p>
    <w:p>
      <w:pPr>
        <w:pStyle w:val="12"/>
        <w:tabs>
          <w:tab w:val="right" w:leader="dot" w:pos="8290"/>
        </w:tabs>
        <w:spacing w:before="0" w:after="0"/>
        <w:rPr>
          <w:rFonts w:ascii="宋体" w:hAnsi="宋体" w:cs="Times New Roman"/>
          <w:b w:val="0"/>
          <w:bCs w:val="0"/>
          <w:caps w:val="0"/>
          <w:sz w:val="21"/>
          <w:szCs w:val="21"/>
        </w:rPr>
      </w:pPr>
      <w:r>
        <w:fldChar w:fldCharType="begin"/>
      </w:r>
      <w:r>
        <w:instrText xml:space="preserve"> HYPERLINK \l "_Toc57293277" </w:instrText>
      </w:r>
      <w:r>
        <w:fldChar w:fldCharType="separate"/>
      </w:r>
      <w:r>
        <w:rPr>
          <w:rStyle w:val="19"/>
          <w:rFonts w:hint="eastAsia" w:ascii="宋体" w:hAnsi="宋体"/>
          <w:b w:val="0"/>
          <w:color w:val="auto"/>
          <w:sz w:val="21"/>
        </w:rPr>
        <w:t>附录　A （资料性附录）</w:t>
      </w:r>
      <w:r>
        <w:rPr>
          <w:rStyle w:val="19"/>
          <w:rFonts w:ascii="宋体" w:hAnsi="宋体"/>
          <w:b w:val="0"/>
          <w:color w:val="auto"/>
          <w:sz w:val="21"/>
        </w:rPr>
        <w:t xml:space="preserve"> </w:t>
      </w:r>
      <w:r>
        <w:rPr>
          <w:rStyle w:val="19"/>
          <w:rFonts w:hint="eastAsia" w:ascii="宋体" w:hAnsi="宋体"/>
          <w:b w:val="0"/>
          <w:color w:val="auto"/>
          <w:sz w:val="21"/>
        </w:rPr>
        <w:t>扩展功能</w:t>
      </w:r>
      <w:r>
        <w:rPr>
          <w:rFonts w:ascii="宋体" w:hAnsi="宋体"/>
          <w:b w:val="0"/>
          <w:sz w:val="21"/>
          <w:szCs w:val="21"/>
        </w:rPr>
        <w:tab/>
      </w:r>
      <w:r>
        <w:rPr>
          <w:rFonts w:ascii="宋体" w:hAnsi="宋体"/>
          <w:b w:val="0"/>
          <w:sz w:val="21"/>
          <w:szCs w:val="21"/>
        </w:rPr>
        <w:fldChar w:fldCharType="begin"/>
      </w:r>
      <w:r>
        <w:rPr>
          <w:rFonts w:ascii="宋体" w:hAnsi="宋体"/>
          <w:b w:val="0"/>
          <w:sz w:val="21"/>
          <w:szCs w:val="21"/>
        </w:rPr>
        <w:instrText xml:space="preserve"> PAGEREF _Toc57293277 \h </w:instrText>
      </w:r>
      <w:r>
        <w:rPr>
          <w:rFonts w:ascii="宋体" w:hAnsi="宋体"/>
          <w:b w:val="0"/>
          <w:sz w:val="21"/>
          <w:szCs w:val="21"/>
        </w:rPr>
        <w:fldChar w:fldCharType="separate"/>
      </w:r>
      <w:r>
        <w:rPr>
          <w:rFonts w:ascii="宋体" w:hAnsi="宋体"/>
          <w:b w:val="0"/>
          <w:sz w:val="21"/>
          <w:szCs w:val="21"/>
        </w:rPr>
        <w:t>13</w:t>
      </w:r>
      <w:r>
        <w:rPr>
          <w:rFonts w:ascii="宋体" w:hAnsi="宋体"/>
          <w:b w:val="0"/>
          <w:sz w:val="21"/>
          <w:szCs w:val="21"/>
        </w:rPr>
        <w:fldChar w:fldCharType="end"/>
      </w:r>
      <w:r>
        <w:rPr>
          <w:rFonts w:ascii="宋体" w:hAnsi="宋体"/>
          <w:b w:val="0"/>
          <w:sz w:val="21"/>
          <w:szCs w:val="21"/>
        </w:rPr>
        <w:fldChar w:fldCharType="end"/>
      </w:r>
    </w:p>
    <w:p>
      <w:pPr>
        <w:pStyle w:val="12"/>
        <w:tabs>
          <w:tab w:val="right" w:leader="dot" w:pos="8290"/>
        </w:tabs>
        <w:spacing w:before="0" w:after="0"/>
        <w:rPr>
          <w:rFonts w:ascii="宋体" w:hAnsi="宋体" w:cs="Times New Roman"/>
          <w:b w:val="0"/>
          <w:bCs w:val="0"/>
          <w:caps w:val="0"/>
          <w:sz w:val="21"/>
          <w:szCs w:val="21"/>
        </w:rPr>
      </w:pPr>
      <w:r>
        <w:fldChar w:fldCharType="begin"/>
      </w:r>
      <w:r>
        <w:instrText xml:space="preserve"> HYPERLINK \l "_Toc57293279" </w:instrText>
      </w:r>
      <w:r>
        <w:fldChar w:fldCharType="separate"/>
      </w:r>
      <w:r>
        <w:rPr>
          <w:rStyle w:val="19"/>
          <w:rFonts w:hint="eastAsia" w:ascii="宋体" w:hAnsi="宋体"/>
          <w:b w:val="0"/>
          <w:color w:val="auto"/>
          <w:sz w:val="21"/>
        </w:rPr>
        <w:t>附录　B</w:t>
      </w:r>
      <w:bookmarkStart w:id="3" w:name="_Hlt57293344"/>
      <w:r>
        <w:rPr>
          <w:rStyle w:val="19"/>
          <w:rFonts w:hint="eastAsia" w:ascii="宋体" w:hAnsi="宋体"/>
          <w:b w:val="0"/>
          <w:color w:val="auto"/>
          <w:sz w:val="21"/>
        </w:rPr>
        <w:t xml:space="preserve"> （资料性附录）</w:t>
      </w:r>
      <w:r>
        <w:rPr>
          <w:rStyle w:val="19"/>
          <w:rFonts w:ascii="宋体" w:hAnsi="宋体"/>
          <w:b w:val="0"/>
          <w:color w:val="auto"/>
          <w:sz w:val="21"/>
        </w:rPr>
        <w:t xml:space="preserve"> </w:t>
      </w:r>
      <w:r>
        <w:rPr>
          <w:rStyle w:val="19"/>
          <w:rFonts w:hint="eastAsia" w:ascii="宋体" w:hAnsi="宋体"/>
          <w:b w:val="0"/>
          <w:color w:val="auto"/>
          <w:sz w:val="21"/>
        </w:rPr>
        <w:t>门票介质与终端要求</w:t>
      </w:r>
      <w:r>
        <w:rPr>
          <w:rFonts w:ascii="宋体" w:hAnsi="宋体"/>
          <w:b w:val="0"/>
          <w:sz w:val="21"/>
          <w:szCs w:val="21"/>
        </w:rPr>
        <w:tab/>
      </w:r>
      <w:bookmarkEnd w:id="3"/>
      <w:bookmarkStart w:id="4" w:name="_Hlt57293401"/>
      <w:r>
        <w:rPr>
          <w:rFonts w:ascii="宋体" w:hAnsi="宋体"/>
          <w:b w:val="0"/>
          <w:sz w:val="21"/>
          <w:szCs w:val="21"/>
        </w:rPr>
        <w:fldChar w:fldCharType="begin"/>
      </w:r>
      <w:r>
        <w:rPr>
          <w:rFonts w:ascii="宋体" w:hAnsi="宋体"/>
          <w:b w:val="0"/>
          <w:sz w:val="21"/>
          <w:szCs w:val="21"/>
        </w:rPr>
        <w:instrText xml:space="preserve"> PAGEREF _Toc57293279 \h </w:instrText>
      </w:r>
      <w:r>
        <w:rPr>
          <w:rFonts w:ascii="宋体" w:hAnsi="宋体"/>
          <w:b w:val="0"/>
          <w:sz w:val="21"/>
          <w:szCs w:val="21"/>
        </w:rPr>
        <w:fldChar w:fldCharType="separate"/>
      </w:r>
      <w:r>
        <w:rPr>
          <w:rFonts w:ascii="宋体" w:hAnsi="宋体"/>
          <w:b w:val="0"/>
          <w:sz w:val="21"/>
          <w:szCs w:val="21"/>
        </w:rPr>
        <w:t>14</w:t>
      </w:r>
      <w:r>
        <w:rPr>
          <w:rFonts w:ascii="宋体" w:hAnsi="宋体"/>
          <w:b w:val="0"/>
          <w:sz w:val="21"/>
          <w:szCs w:val="21"/>
        </w:rPr>
        <w:fldChar w:fldCharType="end"/>
      </w:r>
      <w:bookmarkEnd w:id="4"/>
      <w:r>
        <w:rPr>
          <w:rFonts w:ascii="宋体" w:hAnsi="宋体"/>
          <w:b w:val="0"/>
          <w:sz w:val="21"/>
          <w:szCs w:val="21"/>
        </w:rPr>
        <w:fldChar w:fldCharType="end"/>
      </w:r>
    </w:p>
    <w:p>
      <w:pPr>
        <w:pStyle w:val="13"/>
        <w:tabs>
          <w:tab w:val="right" w:leader="dot" w:pos="8290"/>
        </w:tabs>
        <w:ind w:left="0"/>
        <w:rPr>
          <w:rFonts w:ascii="宋体" w:hAnsi="宋体" w:cs="Times New Roman"/>
          <w:smallCaps w:val="0"/>
          <w:sz w:val="21"/>
          <w:szCs w:val="21"/>
        </w:rPr>
      </w:pPr>
    </w:p>
    <w:p>
      <w:pPr>
        <w:pStyle w:val="12"/>
        <w:tabs>
          <w:tab w:val="right" w:leader="dot" w:pos="8290"/>
        </w:tabs>
      </w:pPr>
      <w:r>
        <w:rPr>
          <w:rFonts w:ascii="宋体" w:hAnsi="宋体"/>
          <w:b w:val="0"/>
          <w:bCs w:val="0"/>
          <w:caps w:val="0"/>
          <w:sz w:val="21"/>
          <w:szCs w:val="21"/>
          <w:lang w:val="zh-CN"/>
        </w:rPr>
        <w:fldChar w:fldCharType="end"/>
      </w:r>
    </w:p>
    <w:p/>
    <w:p/>
    <w:p/>
    <w:p/>
    <w:p/>
    <w:p/>
    <w:p/>
    <w:p>
      <w:pPr>
        <w:jc w:val="right"/>
      </w:pPr>
    </w:p>
    <w:p/>
    <w:p/>
    <w:p/>
    <w:p/>
    <w:p/>
    <w:p/>
    <w:p>
      <w:pPr>
        <w:tabs>
          <w:tab w:val="left" w:pos="8325"/>
        </w:tabs>
      </w:pPr>
      <w:r>
        <w:tab/>
      </w:r>
    </w:p>
    <w:p>
      <w:pPr>
        <w:pStyle w:val="34"/>
        <w:spacing w:line="680" w:lineRule="exact"/>
      </w:pPr>
      <w:bookmarkStart w:id="5" w:name="_Toc531726265"/>
      <w:bookmarkStart w:id="6" w:name="_Toc52373497"/>
      <w:bookmarkStart w:id="7" w:name="_Toc57293257"/>
      <w:r>
        <w:rPr>
          <w:rFonts w:hint="eastAsia"/>
        </w:rPr>
        <w:t>前</w:t>
      </w:r>
      <w:bookmarkStart w:id="8" w:name="BKQY"/>
      <w:r>
        <w:rPr>
          <w:rFonts w:hAnsi="黑体"/>
        </w:rPr>
        <w:t> </w:t>
      </w:r>
      <w:r>
        <w:rPr>
          <w:rFonts w:hint="eastAsia"/>
        </w:rPr>
        <w:t>言</w:t>
      </w:r>
      <w:bookmarkEnd w:id="2"/>
      <w:bookmarkEnd w:id="5"/>
      <w:bookmarkEnd w:id="6"/>
      <w:bookmarkEnd w:id="7"/>
      <w:bookmarkEnd w:id="8"/>
    </w:p>
    <w:p>
      <w:pPr>
        <w:ind w:firstLine="420"/>
        <w:rPr>
          <w:rFonts w:ascii="宋体" w:hAnsi="宋体"/>
          <w:szCs w:val="21"/>
        </w:rPr>
      </w:pPr>
      <w:r>
        <w:rPr>
          <w:rFonts w:hint="eastAsia" w:ascii="宋体" w:hAnsi="宋体"/>
          <w:szCs w:val="21"/>
        </w:rPr>
        <w:t>本文件按照GB</w:t>
      </w:r>
      <w:r>
        <w:rPr>
          <w:rFonts w:ascii="宋体" w:hAnsi="宋体"/>
          <w:szCs w:val="21"/>
        </w:rPr>
        <w:t xml:space="preserve">/T </w:t>
      </w:r>
      <w:r>
        <w:rPr>
          <w:rFonts w:hint="eastAsia" w:ascii="宋体" w:hAnsi="宋体"/>
          <w:szCs w:val="21"/>
        </w:rPr>
        <w:t>1</w:t>
      </w:r>
      <w:r>
        <w:rPr>
          <w:rFonts w:ascii="宋体" w:hAnsi="宋体"/>
          <w:szCs w:val="21"/>
        </w:rPr>
        <w:t>.1</w:t>
      </w:r>
      <w:r>
        <w:rPr>
          <w:rFonts w:hint="eastAsia" w:ascii="宋体" w:hAnsi="宋体"/>
          <w:szCs w:val="21"/>
        </w:rPr>
        <w:t>-</w:t>
      </w:r>
      <w:r>
        <w:rPr>
          <w:rFonts w:ascii="宋体" w:hAnsi="宋体"/>
          <w:szCs w:val="21"/>
        </w:rPr>
        <w:t>20</w:t>
      </w:r>
      <w:r>
        <w:rPr>
          <w:rFonts w:hint="eastAsia" w:ascii="宋体" w:hAnsi="宋体"/>
          <w:szCs w:val="21"/>
        </w:rPr>
        <w:t>20</w:t>
      </w:r>
      <w:r>
        <w:rPr>
          <w:rFonts w:ascii="宋体" w:hAnsi="宋体"/>
          <w:szCs w:val="21"/>
        </w:rPr>
        <w:t>给出的规则起草</w:t>
      </w:r>
      <w:r>
        <w:rPr>
          <w:rFonts w:hint="eastAsia" w:ascii="宋体" w:hAnsi="宋体"/>
          <w:szCs w:val="21"/>
        </w:rPr>
        <w:t>。</w:t>
      </w:r>
    </w:p>
    <w:p>
      <w:pPr>
        <w:ind w:firstLine="420"/>
        <w:rPr>
          <w:rFonts w:ascii="宋体" w:hAnsi="宋体"/>
          <w:szCs w:val="21"/>
        </w:rPr>
      </w:pPr>
      <w:r>
        <w:rPr>
          <w:rFonts w:hint="eastAsia" w:ascii="宋体" w:hAnsi="宋体"/>
          <w:szCs w:val="21"/>
        </w:rPr>
        <w:t>本文件</w:t>
      </w:r>
      <w:r>
        <w:rPr>
          <w:rFonts w:ascii="宋体" w:hAnsi="宋体"/>
          <w:szCs w:val="21"/>
        </w:rPr>
        <w:t>由</w:t>
      </w:r>
      <w:r>
        <w:rPr>
          <w:rFonts w:hint="eastAsia" w:ascii="宋体" w:hAnsi="宋体"/>
          <w:szCs w:val="21"/>
        </w:rPr>
        <w:t>中国风景名胜区协会提出并归口管理。</w:t>
      </w:r>
    </w:p>
    <w:p>
      <w:pPr>
        <w:pStyle w:val="30"/>
        <w:rPr>
          <w:rFonts w:hAnsi="宋体"/>
          <w:szCs w:val="21"/>
        </w:rPr>
      </w:pPr>
      <w:r>
        <w:rPr>
          <w:rFonts w:hint="eastAsia" w:hAnsi="宋体"/>
          <w:szCs w:val="21"/>
        </w:rPr>
        <w:t>本文件起草单位：</w:t>
      </w:r>
    </w:p>
    <w:p>
      <w:pPr>
        <w:pStyle w:val="30"/>
      </w:pPr>
      <w:r>
        <w:rPr>
          <w:rFonts w:hAnsi="宋体"/>
          <w:szCs w:val="21"/>
        </w:rPr>
        <w:t>本</w:t>
      </w:r>
      <w:r>
        <w:rPr>
          <w:rFonts w:hint="eastAsia" w:hAnsi="宋体"/>
          <w:szCs w:val="21"/>
        </w:rPr>
        <w:t>文件</w:t>
      </w:r>
      <w:r>
        <w:rPr>
          <w:rFonts w:hAnsi="宋体"/>
          <w:szCs w:val="21"/>
        </w:rPr>
        <w:t>主要起草人</w:t>
      </w:r>
      <w:r>
        <w:rPr>
          <w:rFonts w:hint="eastAsia" w:hAnsi="宋体"/>
          <w:szCs w:val="21"/>
        </w:rPr>
        <w:t>：</w:t>
      </w:r>
      <w:r>
        <w:t xml:space="preserve"> </w:t>
      </w:r>
    </w:p>
    <w:p/>
    <w:p/>
    <w:p/>
    <w:p>
      <w:pPr>
        <w:jc w:val="right"/>
      </w:pPr>
    </w:p>
    <w:p/>
    <w:p>
      <w:pPr>
        <w:sectPr>
          <w:headerReference r:id="rId6" w:type="default"/>
          <w:footerReference r:id="rId7" w:type="default"/>
          <w:pgSz w:w="11906" w:h="16838"/>
          <w:pgMar w:top="1440" w:right="1803" w:bottom="1440" w:left="1803" w:header="964" w:footer="964" w:gutter="0"/>
          <w:pgNumType w:fmt="upperRoman" w:start="1"/>
          <w:cols w:space="720" w:num="1"/>
          <w:formProt w:val="0"/>
          <w:titlePg/>
          <w:docGrid w:type="lines" w:linePitch="312" w:charSpace="0"/>
        </w:sectPr>
      </w:pPr>
    </w:p>
    <w:p>
      <w:pPr>
        <w:pStyle w:val="36"/>
        <w:tabs>
          <w:tab w:val="center" w:pos="4153"/>
          <w:tab w:val="left" w:pos="7630"/>
          <w:tab w:val="right" w:pos="8306"/>
        </w:tabs>
        <w:spacing w:line="240" w:lineRule="auto"/>
        <w:jc w:val="left"/>
      </w:pPr>
      <w:bookmarkStart w:id="9" w:name="_Toc47355897"/>
      <w:r>
        <w:tab/>
      </w:r>
      <w:bookmarkStart w:id="10" w:name="_Toc52373498"/>
      <w:bookmarkStart w:id="11" w:name="_Toc57293122"/>
      <w:bookmarkStart w:id="12" w:name="_Toc57293258"/>
      <w:bookmarkStart w:id="13" w:name="_Toc52373861"/>
      <w:r>
        <w:rPr>
          <w:rFonts w:hint="eastAsia"/>
        </w:rPr>
        <w:t>风景名胜区</w:t>
      </w:r>
      <w:r>
        <w:t>门票系统</w:t>
      </w:r>
      <w:r>
        <w:rPr>
          <w:rFonts w:hint="eastAsia"/>
        </w:rPr>
        <w:t>技术规范</w:t>
      </w:r>
      <w:bookmarkEnd w:id="9"/>
      <w:bookmarkEnd w:id="10"/>
      <w:bookmarkEnd w:id="11"/>
      <w:bookmarkEnd w:id="12"/>
      <w:bookmarkEnd w:id="13"/>
    </w:p>
    <w:p>
      <w:pPr>
        <w:pStyle w:val="33"/>
        <w:numPr>
          <w:ilvl w:val="0"/>
          <w:numId w:val="4"/>
        </w:numPr>
      </w:pPr>
      <w:bookmarkStart w:id="14" w:name="_Toc524963266"/>
      <w:bookmarkStart w:id="15" w:name="_Toc531251747"/>
      <w:bookmarkStart w:id="16" w:name="_Toc527563373"/>
      <w:bookmarkStart w:id="17" w:name="_Toc433622636"/>
      <w:bookmarkStart w:id="18" w:name="_Toc531251533"/>
      <w:bookmarkStart w:id="19" w:name="_Toc530411545"/>
      <w:bookmarkStart w:id="20" w:name="_Toc530412429"/>
      <w:bookmarkStart w:id="21" w:name="_Toc522570663"/>
      <w:bookmarkStart w:id="22" w:name="_Toc527563905"/>
      <w:bookmarkStart w:id="23" w:name="_Toc530477414"/>
      <w:bookmarkStart w:id="24" w:name="_Toc511204519"/>
      <w:bookmarkStart w:id="25" w:name="_Toc433614402"/>
      <w:bookmarkStart w:id="26" w:name="_Toc530477288"/>
      <w:bookmarkStart w:id="27" w:name="_Toc524708286"/>
      <w:bookmarkStart w:id="28" w:name="_Toc511204615"/>
      <w:bookmarkStart w:id="29" w:name="_Toc530383689"/>
      <w:bookmarkStart w:id="30" w:name="_Toc515898892"/>
      <w:bookmarkStart w:id="31" w:name="_Toc433634209"/>
      <w:bookmarkStart w:id="32" w:name="_Toc531724633"/>
      <w:bookmarkStart w:id="33" w:name="_Toc522570839"/>
      <w:bookmarkStart w:id="34" w:name="_Toc433614466"/>
      <w:bookmarkStart w:id="35" w:name="_Toc531716384"/>
      <w:bookmarkStart w:id="36" w:name="_Toc52373499"/>
      <w:bookmarkStart w:id="37" w:name="_Toc515899454"/>
      <w:bookmarkStart w:id="38" w:name="_Toc531263130"/>
      <w:bookmarkStart w:id="39" w:name="_Toc524963157"/>
      <w:bookmarkStart w:id="40" w:name="_Toc516132459"/>
      <w:bookmarkStart w:id="41" w:name="_Toc57293259"/>
      <w:r>
        <w:rPr>
          <w:rFonts w:hint="eastAsia"/>
        </w:rPr>
        <w:t>范围</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ind w:firstLine="420" w:firstLineChars="200"/>
        <w:rPr>
          <w:rFonts w:ascii="宋体" w:hAnsi="宋体"/>
          <w:szCs w:val="21"/>
        </w:rPr>
      </w:pPr>
      <w:r>
        <w:rPr>
          <w:rFonts w:hint="eastAsia" w:ascii="宋体" w:hAnsi="宋体"/>
          <w:szCs w:val="21"/>
        </w:rPr>
        <w:t>本文件规定了风景名胜区</w:t>
      </w:r>
      <w:r>
        <w:rPr>
          <w:rFonts w:ascii="宋体" w:hAnsi="宋体"/>
          <w:szCs w:val="21"/>
        </w:rPr>
        <w:t>门票系统</w:t>
      </w:r>
      <w:r>
        <w:rPr>
          <w:rFonts w:hint="eastAsia" w:ascii="宋体" w:hAnsi="宋体"/>
          <w:szCs w:val="21"/>
        </w:rPr>
        <w:t>的门票编码规则、系统结构、系统功能、系统性能、接口和安全要求等。</w:t>
      </w:r>
    </w:p>
    <w:p>
      <w:pPr>
        <w:pStyle w:val="30"/>
      </w:pPr>
      <w:r>
        <w:rPr>
          <w:rFonts w:hint="eastAsia" w:hAnsi="宋体"/>
          <w:szCs w:val="21"/>
        </w:rPr>
        <w:t>本文件适用于风景名胜区门票系统的设计、建设、运维等。</w:t>
      </w:r>
    </w:p>
    <w:p>
      <w:pPr>
        <w:pStyle w:val="33"/>
        <w:numPr>
          <w:ilvl w:val="0"/>
          <w:numId w:val="4"/>
        </w:numPr>
      </w:pPr>
      <w:bookmarkStart w:id="42" w:name="_Toc404151803"/>
      <w:bookmarkStart w:id="43" w:name="_Toc531251748"/>
      <w:bookmarkStart w:id="44" w:name="_Toc404151785"/>
      <w:bookmarkStart w:id="45" w:name="_Toc522570664"/>
      <w:bookmarkStart w:id="46" w:name="_Toc530383690"/>
      <w:bookmarkStart w:id="47" w:name="_Toc401220221"/>
      <w:bookmarkStart w:id="48" w:name="_Toc515899455"/>
      <w:bookmarkStart w:id="49" w:name="_Toc516132460"/>
      <w:bookmarkStart w:id="50" w:name="_Toc531263131"/>
      <w:bookmarkStart w:id="51" w:name="_Toc531716385"/>
      <w:bookmarkStart w:id="52" w:name="_Toc524708287"/>
      <w:bookmarkStart w:id="53" w:name="_Toc515898893"/>
      <w:bookmarkStart w:id="54" w:name="_Toc401220213"/>
      <w:bookmarkStart w:id="55" w:name="_Toc530477415"/>
      <w:bookmarkStart w:id="56" w:name="_Toc527563374"/>
      <w:bookmarkStart w:id="57" w:name="_Toc530411546"/>
      <w:bookmarkStart w:id="58" w:name="_Toc52373500"/>
      <w:bookmarkStart w:id="59" w:name="_Toc530477289"/>
      <w:bookmarkStart w:id="60" w:name="_Toc524963267"/>
      <w:bookmarkStart w:id="61" w:name="_Toc527563906"/>
      <w:bookmarkStart w:id="62" w:name="_Toc57293260"/>
      <w:bookmarkStart w:id="63" w:name="_Toc531724634"/>
      <w:bookmarkStart w:id="64" w:name="_Toc524963158"/>
      <w:bookmarkStart w:id="65" w:name="_Toc530412430"/>
      <w:bookmarkStart w:id="66" w:name="_Toc511910675"/>
      <w:bookmarkStart w:id="67" w:name="_Toc522570840"/>
      <w:bookmarkStart w:id="68" w:name="_Toc531251534"/>
      <w:r>
        <w:rPr>
          <w:rFonts w:hint="eastAsia"/>
        </w:rPr>
        <w:t>规范性引用文件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pPr>
        <w:pStyle w:val="30"/>
      </w:pPr>
      <w:r>
        <w:rPr>
          <w:rFonts w:hint="eastAsia"/>
        </w:rPr>
        <w:t>下列文件对于本文件的应用是必不可少的。凡是注日期的引用文件，仅注日期的版本适用于本文件。凡是不注日期的引用文件，其最新版本（包括所有的修改单）适用于本文件。</w:t>
      </w:r>
    </w:p>
    <w:p>
      <w:pPr>
        <w:pStyle w:val="30"/>
      </w:pPr>
      <w:r>
        <w:rPr>
          <w:rFonts w:hint="eastAsia"/>
        </w:rPr>
        <w:t>GB/T 4208   外壳防护等级（IP代码）</w:t>
      </w:r>
    </w:p>
    <w:p>
      <w:pPr>
        <w:pStyle w:val="30"/>
      </w:pPr>
      <w:r>
        <w:rPr>
          <w:rFonts w:hint="eastAsia"/>
        </w:rPr>
        <w:t>GB 16796    安全防范报警设备  安全要求和试验方法</w:t>
      </w:r>
    </w:p>
    <w:p>
      <w:pPr>
        <w:pStyle w:val="30"/>
      </w:pPr>
      <w:r>
        <w:rPr>
          <w:rFonts w:hint="eastAsia"/>
        </w:rPr>
        <w:t>GB/T 18284  快速响应矩阵码  QR Code</w:t>
      </w:r>
    </w:p>
    <w:p>
      <w:pPr>
        <w:pStyle w:val="30"/>
      </w:pPr>
      <w:r>
        <w:rPr>
          <w:rFonts w:hint="eastAsia"/>
        </w:rPr>
        <w:t>GB/T 20138  电器设备外壳对外界机械碰撞的防护等级（IK代码）</w:t>
      </w:r>
    </w:p>
    <w:p>
      <w:pPr>
        <w:pStyle w:val="30"/>
      </w:pPr>
      <w:r>
        <w:rPr>
          <w:rFonts w:hint="eastAsia"/>
        </w:rPr>
        <w:t>GB/T 27766  二维条码  网格矩阵码</w:t>
      </w:r>
    </w:p>
    <w:p>
      <w:pPr>
        <w:pStyle w:val="30"/>
      </w:pPr>
      <w:r>
        <w:rPr>
          <w:rFonts w:hint="eastAsia"/>
        </w:rPr>
        <w:t>GB/T 28925  信息技术  射频识别  2.45GHz空中接口协议</w:t>
      </w:r>
    </w:p>
    <w:p>
      <w:pPr>
        <w:pStyle w:val="30"/>
      </w:pPr>
      <w:r>
        <w:rPr>
          <w:rFonts w:hint="eastAsia"/>
        </w:rPr>
        <w:t>GB/T 29768  信息技术  射频识别  800-900MHz空中接口协议</w:t>
      </w:r>
    </w:p>
    <w:p>
      <w:pPr>
        <w:pStyle w:val="30"/>
      </w:pPr>
      <w:r>
        <w:rPr>
          <w:rFonts w:hint="eastAsia"/>
        </w:rPr>
        <w:t>GB/T 35678  公共安全  人脸识别应用  图像技术要求</w:t>
      </w:r>
    </w:p>
    <w:p>
      <w:pPr>
        <w:pStyle w:val="30"/>
      </w:pPr>
      <w:r>
        <w:rPr>
          <w:rFonts w:hint="eastAsia"/>
        </w:rPr>
        <w:t>GB/T 38122  公共安全指纹识别应用 验证算法性能评测方法</w:t>
      </w:r>
    </w:p>
    <w:p>
      <w:pPr>
        <w:pStyle w:val="30"/>
      </w:pPr>
      <w:r>
        <w:rPr>
          <w:rFonts w:hint="eastAsia"/>
        </w:rPr>
        <w:t>CJ/T 166    建设事业集成电路（IC）卡应用技术条件</w:t>
      </w:r>
    </w:p>
    <w:p>
      <w:pPr>
        <w:pStyle w:val="30"/>
      </w:pPr>
      <w:r>
        <w:rPr>
          <w:rFonts w:hint="eastAsia"/>
        </w:rPr>
        <w:t>SJ/T 11607  指纹识别设备通用规范</w:t>
      </w:r>
    </w:p>
    <w:p>
      <w:pPr>
        <w:pStyle w:val="30"/>
      </w:pPr>
      <w:r>
        <w:rPr>
          <w:rFonts w:hint="eastAsia"/>
        </w:rPr>
        <w:t>ISO/IEC 14443  Identification cards</w:t>
      </w:r>
      <w:bookmarkStart w:id="69" w:name="_Toc531716386"/>
      <w:bookmarkStart w:id="70" w:name="_Toc530477290"/>
      <w:bookmarkStart w:id="71" w:name="_Toc524963268"/>
      <w:bookmarkStart w:id="72" w:name="_Toc401220214"/>
      <w:bookmarkStart w:id="73" w:name="_Toc531263132"/>
      <w:bookmarkStart w:id="74" w:name="_Toc522570841"/>
      <w:bookmarkStart w:id="75" w:name="_Toc516132461"/>
      <w:bookmarkStart w:id="76" w:name="_Toc401220222"/>
      <w:bookmarkStart w:id="77" w:name="_Toc52373501"/>
      <w:bookmarkStart w:id="78" w:name="_Toc404151804"/>
      <w:bookmarkStart w:id="79" w:name="_Toc530383691"/>
      <w:bookmarkStart w:id="80" w:name="_Toc524708288"/>
      <w:bookmarkStart w:id="81" w:name="_Toc515898894"/>
      <w:bookmarkStart w:id="82" w:name="_Toc531724635"/>
      <w:bookmarkStart w:id="83" w:name="_Toc522570665"/>
      <w:bookmarkStart w:id="84" w:name="_Toc515899456"/>
      <w:bookmarkStart w:id="85" w:name="_Toc404151786"/>
      <w:bookmarkStart w:id="86" w:name="_Toc530477416"/>
      <w:bookmarkStart w:id="87" w:name="_Toc530412431"/>
      <w:bookmarkStart w:id="88" w:name="_Toc531251749"/>
      <w:bookmarkStart w:id="89" w:name="_Toc530411547"/>
      <w:bookmarkStart w:id="90" w:name="_Toc511910676"/>
      <w:bookmarkStart w:id="91" w:name="_Toc527563907"/>
      <w:bookmarkStart w:id="92" w:name="_Toc524963159"/>
      <w:bookmarkStart w:id="93" w:name="_Toc531251535"/>
      <w:bookmarkStart w:id="94" w:name="_Toc527563375"/>
    </w:p>
    <w:p>
      <w:pPr>
        <w:pStyle w:val="33"/>
        <w:numPr>
          <w:ilvl w:val="0"/>
          <w:numId w:val="4"/>
        </w:numPr>
      </w:pPr>
      <w:bookmarkStart w:id="95" w:name="_Toc57293261"/>
      <w:r>
        <w:rPr>
          <w:rFonts w:hint="eastAsia"/>
        </w:rPr>
        <w:t>术语和定义</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Style w:val="30"/>
      </w:pPr>
      <w:r>
        <w:rPr>
          <w:rFonts w:hint="eastAsia"/>
        </w:rPr>
        <w:t>下列术语和定义适用于本文件。</w:t>
      </w:r>
      <w:bookmarkStart w:id="96" w:name="_Toc52373865"/>
      <w:bookmarkStart w:id="97" w:name="_Toc3187"/>
      <w:bookmarkStart w:id="98" w:name="_Toc467229567"/>
      <w:bookmarkStart w:id="99" w:name="_Toc467229745"/>
      <w:bookmarkStart w:id="100" w:name="_Toc467229507"/>
      <w:bookmarkStart w:id="101" w:name="_Toc44152181"/>
      <w:bookmarkStart w:id="102" w:name="_Toc5965"/>
      <w:bookmarkStart w:id="103" w:name="_Toc459020353"/>
    </w:p>
    <w:p>
      <w:pPr>
        <w:pStyle w:val="46"/>
        <w:numPr>
          <w:ilvl w:val="1"/>
          <w:numId w:val="4"/>
        </w:numPr>
        <w:spacing w:before="156" w:after="156"/>
      </w:pPr>
      <w:r>
        <w:rPr>
          <w:rFonts w:hint="eastAsia"/>
        </w:rPr>
        <w:t>风景名胜区门票系统 national park　ticket　system</w:t>
      </w:r>
    </w:p>
    <w:bookmarkEnd w:id="96"/>
    <w:bookmarkEnd w:id="97"/>
    <w:bookmarkEnd w:id="98"/>
    <w:bookmarkEnd w:id="99"/>
    <w:bookmarkEnd w:id="100"/>
    <w:bookmarkEnd w:id="101"/>
    <w:bookmarkEnd w:id="102"/>
    <w:bookmarkEnd w:id="103"/>
    <w:p>
      <w:pPr>
        <w:pStyle w:val="30"/>
      </w:pPr>
      <w:r>
        <w:rPr>
          <w:rFonts w:hint="eastAsia"/>
        </w:rPr>
        <w:t>利用融合计算机技术、信息技术、电子技术、机电一体化及加密技术于一体的智能化系统，实现风景名胜区门票管理，实现售票、取票、检票、查询、汇总、统计、报表等各项控制管理及实时监控等功能。</w:t>
      </w:r>
      <w:bookmarkStart w:id="104" w:name="_Toc467229565"/>
      <w:bookmarkStart w:id="105" w:name="_Toc52373866"/>
      <w:bookmarkStart w:id="106" w:name="_Toc467229743"/>
      <w:bookmarkStart w:id="107" w:name="_Toc459020352"/>
      <w:bookmarkStart w:id="108" w:name="_Toc16595"/>
      <w:bookmarkStart w:id="109" w:name="_Toc44152180"/>
      <w:bookmarkStart w:id="110" w:name="_Toc28151"/>
      <w:bookmarkStart w:id="111" w:name="_Toc467229505"/>
    </w:p>
    <w:p>
      <w:pPr>
        <w:pStyle w:val="46"/>
        <w:numPr>
          <w:ilvl w:val="1"/>
          <w:numId w:val="4"/>
        </w:numPr>
        <w:spacing w:before="156" w:after="156"/>
      </w:pPr>
      <w:r>
        <w:rPr>
          <w:rFonts w:hint="eastAsia"/>
        </w:rPr>
        <w:t>电子门票 e-ticket</w:t>
      </w:r>
    </w:p>
    <w:bookmarkEnd w:id="104"/>
    <w:bookmarkEnd w:id="105"/>
    <w:bookmarkEnd w:id="106"/>
    <w:bookmarkEnd w:id="107"/>
    <w:bookmarkEnd w:id="108"/>
    <w:bookmarkEnd w:id="109"/>
    <w:bookmarkEnd w:id="110"/>
    <w:bookmarkEnd w:id="111"/>
    <w:p>
      <w:pPr>
        <w:pStyle w:val="30"/>
        <w:rPr>
          <w:rFonts w:hint="eastAsia"/>
        </w:rPr>
      </w:pPr>
      <w:r>
        <w:rPr>
          <w:rFonts w:hint="eastAsia"/>
        </w:rPr>
        <w:t>游客进入风景名胜区参观游玩应出示带有电子信息并通过终端设备进行验证识读的一种凭证。由风景名胜区管理方负责制作、发行、销售并监管的一种有价票证。电子门票主要识别介质类型包含二维码（电子、纸质）、RFID卡（主要指二代身份证、IC卡）等，并可采用人脸识别等辅助识别手段实现人票合一核验。</w:t>
      </w:r>
      <w:bookmarkStart w:id="112" w:name="_Toc52373867"/>
    </w:p>
    <w:p>
      <w:pPr>
        <w:pStyle w:val="30"/>
        <w:rPr>
          <w:rFonts w:hint="eastAsia"/>
        </w:rPr>
      </w:pPr>
    </w:p>
    <w:p>
      <w:pPr>
        <w:pStyle w:val="46"/>
        <w:numPr>
          <w:ilvl w:val="1"/>
          <w:numId w:val="4"/>
        </w:numPr>
        <w:spacing w:before="156" w:after="156"/>
      </w:pPr>
      <w:r>
        <w:rPr>
          <w:rFonts w:hint="eastAsia"/>
        </w:rPr>
        <w:t>最大承载量 carry capacity of scenic area</w:t>
      </w:r>
    </w:p>
    <w:bookmarkEnd w:id="112"/>
    <w:p>
      <w:pPr>
        <w:pStyle w:val="30"/>
        <w:ind w:firstLine="0" w:firstLineChars="0"/>
        <w:jc w:val="left"/>
      </w:pPr>
      <w:r>
        <w:rPr>
          <w:rFonts w:hint="eastAsia"/>
        </w:rPr>
        <w:t xml:space="preserve">    在一定时间条件下，在保障景区内每个景点旅游者人身安全和旅游资源环境安全的前提下，景区能够容纳的最大旅游者数量。</w:t>
      </w:r>
      <w:bookmarkStart w:id="113" w:name="_Toc52373869"/>
    </w:p>
    <w:p>
      <w:pPr>
        <w:pStyle w:val="46"/>
        <w:numPr>
          <w:ilvl w:val="1"/>
          <w:numId w:val="4"/>
        </w:numPr>
        <w:spacing w:before="156" w:after="156"/>
      </w:pPr>
      <w:r>
        <w:rPr>
          <w:rFonts w:hint="eastAsia"/>
        </w:rPr>
        <w:t>瞬时承载量 instantaneous carry capacity of scenic area</w:t>
      </w:r>
    </w:p>
    <w:bookmarkEnd w:id="113"/>
    <w:p>
      <w:pPr>
        <w:pStyle w:val="30"/>
        <w:ind w:firstLine="0" w:firstLineChars="0"/>
      </w:pPr>
      <w:r>
        <w:rPr>
          <w:rFonts w:hint="eastAsia"/>
        </w:rPr>
        <w:t xml:space="preserve">    在某一时间点，在保障景区内每个景点旅游者人身安全和旅游资源环境安全的前提下，景区能够容纳的最大旅游者数量。</w:t>
      </w:r>
      <w:bookmarkStart w:id="114" w:name="_Toc467229754"/>
      <w:bookmarkEnd w:id="114"/>
      <w:bookmarkStart w:id="115" w:name="_Toc467229516"/>
      <w:bookmarkEnd w:id="115"/>
      <w:bookmarkStart w:id="116" w:name="_Toc467229576"/>
      <w:bookmarkEnd w:id="116"/>
      <w:bookmarkStart w:id="117" w:name="_Toc52373875"/>
    </w:p>
    <w:p>
      <w:pPr>
        <w:pStyle w:val="46"/>
        <w:numPr>
          <w:ilvl w:val="1"/>
          <w:numId w:val="4"/>
        </w:numPr>
        <w:spacing w:before="156" w:after="156"/>
      </w:pPr>
      <w:r>
        <w:rPr>
          <w:rFonts w:hint="eastAsia"/>
        </w:rPr>
        <w:t>票据 bill ticket</w:t>
      </w:r>
    </w:p>
    <w:bookmarkEnd w:id="117"/>
    <w:p>
      <w:pPr>
        <w:pStyle w:val="30"/>
      </w:pPr>
      <w:r>
        <w:rPr>
          <w:rFonts w:hint="eastAsia"/>
        </w:rPr>
        <w:t>具有票据凭证能力的纸质门票</w:t>
      </w:r>
      <w:r>
        <w:t>及电子</w:t>
      </w:r>
      <w:r>
        <w:rPr>
          <w:rFonts w:hint="eastAsia"/>
        </w:rPr>
        <w:t>门票。</w:t>
      </w:r>
    </w:p>
    <w:p>
      <w:pPr>
        <w:pStyle w:val="30"/>
        <w:ind w:firstLine="360"/>
      </w:pPr>
      <w:r>
        <w:rPr>
          <w:sz w:val="18"/>
          <w:szCs w:val="18"/>
        </w:rPr>
        <w:t>注</w:t>
      </w:r>
      <w:r>
        <w:rPr>
          <w:rFonts w:hint="eastAsia"/>
          <w:sz w:val="18"/>
          <w:szCs w:val="18"/>
        </w:rPr>
        <w:t>：</w:t>
      </w:r>
      <w:r>
        <w:rPr>
          <w:sz w:val="18"/>
          <w:szCs w:val="18"/>
        </w:rPr>
        <w:t>从类型上可分为财政票据门票和增值税票据门票</w:t>
      </w:r>
      <w:r>
        <w:rPr>
          <w:rFonts w:hint="eastAsia"/>
          <w:sz w:val="18"/>
          <w:szCs w:val="18"/>
        </w:rPr>
        <w:t>，</w:t>
      </w:r>
      <w:r>
        <w:rPr>
          <w:sz w:val="18"/>
          <w:szCs w:val="18"/>
        </w:rPr>
        <w:t>一般由国家或地方财政部门监制</w:t>
      </w:r>
      <w:r>
        <w:rPr>
          <w:rFonts w:hint="eastAsia"/>
          <w:sz w:val="18"/>
          <w:szCs w:val="18"/>
        </w:rPr>
        <w:t>。</w:t>
      </w:r>
      <w:bookmarkStart w:id="118" w:name="_Toc52373876"/>
    </w:p>
    <w:p>
      <w:pPr>
        <w:pStyle w:val="46"/>
        <w:numPr>
          <w:ilvl w:val="1"/>
          <w:numId w:val="4"/>
        </w:numPr>
        <w:spacing w:before="156" w:after="156"/>
      </w:pPr>
      <w:r>
        <w:rPr>
          <w:rFonts w:hint="eastAsia"/>
        </w:rPr>
        <w:t>入园凭证 entering voucher</w:t>
      </w:r>
    </w:p>
    <w:bookmarkEnd w:id="118"/>
    <w:p>
      <w:pPr>
        <w:pStyle w:val="30"/>
        <w:jc w:val="left"/>
      </w:pPr>
      <w:r>
        <w:rPr>
          <w:rFonts w:hint="eastAsia"/>
        </w:rPr>
        <w:t>能通过系统验证，实现入园的所有介质。</w:t>
      </w:r>
    </w:p>
    <w:p>
      <w:pPr>
        <w:pStyle w:val="30"/>
        <w:ind w:firstLine="360"/>
        <w:jc w:val="left"/>
      </w:pPr>
      <w:r>
        <w:rPr>
          <w:sz w:val="18"/>
          <w:szCs w:val="18"/>
        </w:rPr>
        <w:t>注</w:t>
      </w:r>
      <w:r>
        <w:rPr>
          <w:rFonts w:hint="eastAsia"/>
          <w:sz w:val="18"/>
          <w:szCs w:val="18"/>
        </w:rPr>
        <w:t>：包括</w:t>
      </w:r>
      <w:r>
        <w:rPr>
          <w:sz w:val="18"/>
          <w:szCs w:val="18"/>
        </w:rPr>
        <w:t>实体与电子</w:t>
      </w:r>
      <w:r>
        <w:rPr>
          <w:rFonts w:hint="eastAsia"/>
          <w:sz w:val="18"/>
          <w:szCs w:val="18"/>
        </w:rPr>
        <w:t>等</w:t>
      </w:r>
      <w:r>
        <w:rPr>
          <w:sz w:val="18"/>
          <w:szCs w:val="18"/>
        </w:rPr>
        <w:t>类型</w:t>
      </w:r>
      <w:r>
        <w:rPr>
          <w:rFonts w:hint="eastAsia"/>
          <w:sz w:val="18"/>
          <w:szCs w:val="18"/>
        </w:rPr>
        <w:t>凭证，由景区自主制作或授权制作。</w:t>
      </w:r>
      <w:bookmarkStart w:id="119" w:name="_Toc52373878"/>
    </w:p>
    <w:p>
      <w:pPr>
        <w:pStyle w:val="46"/>
        <w:numPr>
          <w:ilvl w:val="1"/>
          <w:numId w:val="4"/>
        </w:numPr>
        <w:spacing w:before="156" w:after="156"/>
      </w:pPr>
      <w:r>
        <w:rPr>
          <w:rFonts w:hint="eastAsia"/>
        </w:rPr>
        <w:t>生物体征 biological signs</w:t>
      </w:r>
    </w:p>
    <w:bookmarkEnd w:id="119"/>
    <w:p>
      <w:pPr>
        <w:pStyle w:val="30"/>
      </w:pPr>
      <w:r>
        <w:rPr>
          <w:rFonts w:hint="eastAsia" w:hAnsi="宋体"/>
          <w:szCs w:val="21"/>
        </w:rPr>
        <w:t>特指人体中可被电子设备采集和识别的具有群体唯一性的部位特征。</w:t>
      </w:r>
      <w:bookmarkStart w:id="120" w:name="_Toc511910678"/>
      <w:bookmarkStart w:id="121" w:name="_Toc52373879"/>
    </w:p>
    <w:p>
      <w:pPr>
        <w:pStyle w:val="46"/>
        <w:numPr>
          <w:ilvl w:val="1"/>
          <w:numId w:val="4"/>
        </w:numPr>
        <w:spacing w:before="156" w:after="156"/>
      </w:pPr>
      <w:r>
        <w:rPr>
          <w:rFonts w:hint="eastAsia"/>
        </w:rPr>
        <w:t>无拦挡状态 no blocking status</w:t>
      </w:r>
    </w:p>
    <w:bookmarkEnd w:id="120"/>
    <w:bookmarkEnd w:id="121"/>
    <w:p>
      <w:pPr>
        <w:pStyle w:val="30"/>
      </w:pPr>
      <w:r>
        <w:t>人行出入口</w:t>
      </w:r>
      <w:r>
        <w:rPr>
          <w:rFonts w:hint="eastAsia"/>
        </w:rPr>
        <w:t>验票</w:t>
      </w:r>
      <w:r>
        <w:t>通道闸</w:t>
      </w:r>
      <w:r>
        <w:rPr>
          <w:rFonts w:hint="eastAsia"/>
        </w:rPr>
        <w:t>无</w:t>
      </w:r>
      <w:r>
        <w:t>拦挡部分或者拦挡部分对通道不形成阻拦的状态</w:t>
      </w:r>
      <w:r>
        <w:rPr>
          <w:rFonts w:hint="eastAsia" w:hAnsi="宋体"/>
          <w:szCs w:val="21"/>
        </w:rPr>
        <w:t>。</w:t>
      </w:r>
      <w:bookmarkStart w:id="122" w:name="_Toc511910679"/>
      <w:bookmarkStart w:id="123" w:name="_Toc52373880"/>
    </w:p>
    <w:p>
      <w:pPr>
        <w:pStyle w:val="46"/>
        <w:numPr>
          <w:ilvl w:val="1"/>
          <w:numId w:val="4"/>
        </w:numPr>
        <w:spacing w:before="156" w:after="156"/>
      </w:pPr>
      <w:r>
        <w:rPr>
          <w:rFonts w:hint="eastAsia"/>
        </w:rPr>
        <w:t>允许通行状态 allowed pass through status</w:t>
      </w:r>
    </w:p>
    <w:bookmarkEnd w:id="122"/>
    <w:bookmarkEnd w:id="123"/>
    <w:p>
      <w:pPr>
        <w:pStyle w:val="30"/>
      </w:pPr>
      <w:r>
        <w:t>人行出</w:t>
      </w:r>
      <w:r>
        <w:rPr>
          <w:rFonts w:hint="eastAsia"/>
        </w:rPr>
        <w:t>入</w:t>
      </w:r>
      <w:r>
        <w:t>口</w:t>
      </w:r>
      <w:r>
        <w:rPr>
          <w:rFonts w:hint="eastAsia"/>
        </w:rPr>
        <w:t>验票</w:t>
      </w:r>
      <w:r>
        <w:t>通道闸处于无拦挡状态且视觉</w:t>
      </w:r>
      <w:r>
        <w:rPr>
          <w:rFonts w:hint="eastAsia"/>
        </w:rPr>
        <w:t>/</w:t>
      </w:r>
      <w:r>
        <w:t>听觉指示部分提示人员可通过的状态</w:t>
      </w:r>
      <w:r>
        <w:rPr>
          <w:rFonts w:hint="eastAsia"/>
        </w:rPr>
        <w:t>。</w:t>
      </w:r>
      <w:bookmarkStart w:id="124" w:name="_Toc52373881"/>
    </w:p>
    <w:p>
      <w:pPr>
        <w:pStyle w:val="46"/>
        <w:numPr>
          <w:ilvl w:val="1"/>
          <w:numId w:val="4"/>
        </w:numPr>
        <w:spacing w:before="156" w:after="156"/>
      </w:pPr>
      <w:r>
        <w:rPr>
          <w:rFonts w:hint="eastAsia"/>
        </w:rPr>
        <w:t>禁止通行状态 no entry status</w:t>
      </w:r>
    </w:p>
    <w:bookmarkEnd w:id="124"/>
    <w:p>
      <w:pPr>
        <w:pStyle w:val="30"/>
      </w:pPr>
      <w:r>
        <w:rPr>
          <w:rFonts w:hint="eastAsia"/>
        </w:rPr>
        <w:t>人行出入口验票通道闸关闭拦挡部分或视觉/听觉指示部分提示人员禁止通行等状态。</w:t>
      </w:r>
      <w:bookmarkStart w:id="125" w:name="_Toc52373882"/>
    </w:p>
    <w:p>
      <w:pPr>
        <w:pStyle w:val="46"/>
        <w:numPr>
          <w:ilvl w:val="1"/>
          <w:numId w:val="4"/>
        </w:numPr>
        <w:spacing w:before="156" w:after="156"/>
      </w:pPr>
      <w:r>
        <w:rPr>
          <w:rFonts w:hint="eastAsia"/>
        </w:rPr>
        <w:t>开启时间 opening time</w:t>
      </w:r>
    </w:p>
    <w:bookmarkEnd w:id="125"/>
    <w:p>
      <w:pPr>
        <w:pStyle w:val="30"/>
      </w:pPr>
      <w:r>
        <w:t>从驱动部分接收到开启指令至拦挡部分完成开启动作的时间</w:t>
      </w:r>
      <w:r>
        <w:rPr>
          <w:rFonts w:hint="eastAsia"/>
        </w:rPr>
        <w:t>。</w:t>
      </w:r>
      <w:bookmarkStart w:id="126" w:name="_Toc52373883"/>
    </w:p>
    <w:p>
      <w:pPr>
        <w:pStyle w:val="46"/>
        <w:numPr>
          <w:ilvl w:val="1"/>
          <w:numId w:val="4"/>
        </w:numPr>
        <w:spacing w:before="156" w:after="156"/>
      </w:pPr>
      <w:r>
        <w:rPr>
          <w:rFonts w:hint="eastAsia"/>
        </w:rPr>
        <w:t>关闭时间 closing time</w:t>
      </w:r>
    </w:p>
    <w:bookmarkEnd w:id="126"/>
    <w:p>
      <w:pPr>
        <w:pStyle w:val="30"/>
      </w:pPr>
      <w:r>
        <w:t>从驱动部分接收到关闭指令至拦挡部分完成关</w:t>
      </w:r>
      <w:r>
        <w:rPr>
          <w:rFonts w:hint="eastAsia"/>
        </w:rPr>
        <w:t>闭</w:t>
      </w:r>
      <w:r>
        <w:t>动作的时</w:t>
      </w:r>
      <w:r>
        <w:rPr>
          <w:rFonts w:hint="eastAsia"/>
        </w:rPr>
        <w:t>间。</w:t>
      </w:r>
      <w:bookmarkStart w:id="127" w:name="_Toc52373884"/>
    </w:p>
    <w:p>
      <w:pPr>
        <w:pStyle w:val="46"/>
        <w:numPr>
          <w:ilvl w:val="1"/>
          <w:numId w:val="4"/>
        </w:numPr>
        <w:spacing w:before="156" w:after="156"/>
      </w:pPr>
      <w:r>
        <w:rPr>
          <w:rFonts w:hint="eastAsia"/>
        </w:rPr>
        <w:t>等候时间 waiting time</w:t>
      </w:r>
    </w:p>
    <w:bookmarkEnd w:id="127"/>
    <w:p>
      <w:pPr>
        <w:pStyle w:val="30"/>
      </w:pPr>
      <w:r>
        <w:t>人行出</w:t>
      </w:r>
      <w:r>
        <w:rPr>
          <w:rFonts w:hint="eastAsia"/>
        </w:rPr>
        <w:t>入</w:t>
      </w:r>
      <w:r>
        <w:t>口</w:t>
      </w:r>
      <w:r>
        <w:rPr>
          <w:rFonts w:hint="eastAsia"/>
        </w:rPr>
        <w:t>验票</w:t>
      </w:r>
      <w:r>
        <w:t>通道闸在执行单次允许通行指令后</w:t>
      </w:r>
      <w:r>
        <w:rPr>
          <w:rFonts w:hint="eastAsia"/>
        </w:rPr>
        <w:t>，</w:t>
      </w:r>
      <w:r>
        <w:t>无人通行</w:t>
      </w:r>
      <w:r>
        <w:rPr>
          <w:rFonts w:hint="eastAsia"/>
        </w:rPr>
        <w:t>（或拦挡部分一直没有接收关闭指令）</w:t>
      </w:r>
      <w:r>
        <w:t>时</w:t>
      </w:r>
      <w:r>
        <w:rPr>
          <w:rFonts w:hint="eastAsia"/>
        </w:rPr>
        <w:t>，</w:t>
      </w:r>
      <w:r>
        <w:t>允许保持通行状态的最长时间</w:t>
      </w:r>
      <w:r>
        <w:rPr>
          <w:rFonts w:hint="eastAsia"/>
        </w:rPr>
        <w:t>。</w:t>
      </w:r>
      <w:bookmarkStart w:id="128" w:name="_Toc52373885"/>
    </w:p>
    <w:p>
      <w:pPr>
        <w:pStyle w:val="46"/>
        <w:numPr>
          <w:ilvl w:val="1"/>
          <w:numId w:val="4"/>
        </w:numPr>
        <w:spacing w:before="156" w:after="156"/>
      </w:pPr>
      <w:r>
        <w:rPr>
          <w:rFonts w:hint="eastAsia"/>
        </w:rPr>
        <w:t>允许通行时间 passage time allowed</w:t>
      </w:r>
    </w:p>
    <w:bookmarkEnd w:id="128"/>
    <w:p>
      <w:pPr>
        <w:pStyle w:val="30"/>
      </w:pPr>
      <w:r>
        <w:rPr>
          <w:rFonts w:hint="eastAsia"/>
        </w:rPr>
        <w:t>允许单人在通道开启通行后最长的通行时间。</w:t>
      </w:r>
      <w:bookmarkStart w:id="129" w:name="_Toc52373886"/>
    </w:p>
    <w:p>
      <w:pPr>
        <w:pStyle w:val="46"/>
        <w:numPr>
          <w:ilvl w:val="1"/>
          <w:numId w:val="4"/>
        </w:numPr>
        <w:spacing w:before="156" w:after="156"/>
      </w:pPr>
      <w:r>
        <w:rPr>
          <w:rFonts w:hint="eastAsia"/>
        </w:rPr>
        <w:t>防尾随 anti tailing</w:t>
      </w:r>
    </w:p>
    <w:bookmarkEnd w:id="129"/>
    <w:p>
      <w:pPr>
        <w:pStyle w:val="30"/>
      </w:pPr>
      <w:r>
        <w:t>防止或检测企图一次</w:t>
      </w:r>
      <w:r>
        <w:rPr>
          <w:rFonts w:hint="eastAsia"/>
        </w:rPr>
        <w:t>同</w:t>
      </w:r>
      <w:r>
        <w:t>向通过的人数超过允许通过人数的功能</w:t>
      </w:r>
      <w:r>
        <w:rPr>
          <w:rFonts w:hint="eastAsia"/>
        </w:rPr>
        <w:t>。</w:t>
      </w:r>
    </w:p>
    <w:p>
      <w:pPr>
        <w:pStyle w:val="33"/>
        <w:numPr>
          <w:ilvl w:val="0"/>
          <w:numId w:val="4"/>
        </w:numPr>
        <w:tabs>
          <w:tab w:val="left" w:pos="839"/>
          <w:tab w:val="left" w:pos="840"/>
        </w:tabs>
        <w:rPr>
          <w:lang w:bidi="ar"/>
        </w:rPr>
      </w:pPr>
      <w:bookmarkStart w:id="130" w:name="_Toc52373502"/>
      <w:bookmarkStart w:id="131" w:name="_Toc57293266"/>
      <w:bookmarkStart w:id="132" w:name="_Toc527563377"/>
      <w:bookmarkStart w:id="133" w:name="_Toc531251751"/>
      <w:bookmarkStart w:id="134" w:name="_Toc515898896"/>
      <w:bookmarkStart w:id="135" w:name="_Toc524708290"/>
      <w:bookmarkStart w:id="136" w:name="_Toc531716388"/>
      <w:bookmarkStart w:id="137" w:name="_Toc530477292"/>
      <w:bookmarkStart w:id="138" w:name="_Toc522570843"/>
      <w:bookmarkStart w:id="139" w:name="_Toc515899458"/>
      <w:bookmarkStart w:id="140" w:name="_Toc530412433"/>
      <w:bookmarkStart w:id="141" w:name="_Toc531251537"/>
      <w:bookmarkStart w:id="142" w:name="_Toc522570667"/>
      <w:bookmarkStart w:id="143" w:name="_Toc530411549"/>
      <w:bookmarkStart w:id="144" w:name="_Toc530477418"/>
      <w:bookmarkStart w:id="145" w:name="_Toc524963270"/>
      <w:bookmarkStart w:id="146" w:name="_Toc524963161"/>
      <w:bookmarkStart w:id="147" w:name="_Toc527563909"/>
      <w:bookmarkStart w:id="148" w:name="_Toc530383693"/>
      <w:bookmarkStart w:id="149" w:name="_Toc516132463"/>
      <w:bookmarkStart w:id="150" w:name="_Toc531724637"/>
      <w:bookmarkStart w:id="151" w:name="_Toc531263134"/>
      <w:r>
        <w:rPr>
          <w:rFonts w:hint="eastAsia"/>
          <w:lang w:bidi="ar"/>
        </w:rPr>
        <w:t>缩略语</w:t>
      </w:r>
      <w:bookmarkEnd w:id="130"/>
      <w:bookmarkEnd w:id="131"/>
    </w:p>
    <w:p>
      <w:pPr>
        <w:pStyle w:val="30"/>
        <w:tabs>
          <w:tab w:val="left" w:pos="839"/>
          <w:tab w:val="left" w:pos="840"/>
          <w:tab w:val="clear" w:pos="4201"/>
          <w:tab w:val="clear" w:pos="9298"/>
        </w:tabs>
        <w:rPr>
          <w:lang w:bidi="ar"/>
        </w:rPr>
      </w:pPr>
      <w:r>
        <w:rPr>
          <w:rFonts w:hint="eastAsia"/>
          <w:lang w:bidi="ar"/>
        </w:rPr>
        <w:t>下列缩略语适用于本文件。</w:t>
      </w:r>
    </w:p>
    <w:p>
      <w:pPr>
        <w:pStyle w:val="30"/>
        <w:tabs>
          <w:tab w:val="left" w:pos="839"/>
          <w:tab w:val="left" w:pos="840"/>
          <w:tab w:val="clear" w:pos="4201"/>
          <w:tab w:val="clear" w:pos="9298"/>
        </w:tabs>
        <w:rPr>
          <w:lang w:bidi="ar"/>
        </w:rPr>
      </w:pPr>
      <w:r>
        <w:rPr>
          <w:rFonts w:hint="eastAsia"/>
          <w:lang w:bidi="ar"/>
        </w:rPr>
        <w:t>OTA    在线旅行社（</w:t>
      </w:r>
      <w:r>
        <w:t>Online Travel Agency</w:t>
      </w:r>
      <w:r>
        <w:rPr>
          <w:rFonts w:hint="eastAsia"/>
          <w:lang w:bidi="ar"/>
        </w:rPr>
        <w:t>）</w:t>
      </w:r>
    </w:p>
    <w:p>
      <w:pPr>
        <w:pStyle w:val="30"/>
        <w:tabs>
          <w:tab w:val="left" w:pos="839"/>
          <w:tab w:val="left" w:pos="840"/>
          <w:tab w:val="clear" w:pos="4201"/>
          <w:tab w:val="clear" w:pos="9298"/>
        </w:tabs>
        <w:rPr>
          <w:lang w:bidi="ar"/>
        </w:rPr>
      </w:pPr>
      <w:r>
        <w:rPr>
          <w:rFonts w:hint="eastAsia"/>
          <w:lang w:bidi="ar"/>
        </w:rPr>
        <w:t>PDA    个人数字助手（</w:t>
      </w:r>
      <w:r>
        <w:rPr>
          <w:rFonts w:hint="eastAsia"/>
        </w:rPr>
        <w:t>Personal</w:t>
      </w:r>
      <w:r>
        <w:t xml:space="preserve"> </w:t>
      </w:r>
      <w:r>
        <w:rPr>
          <w:rFonts w:hint="eastAsia"/>
        </w:rPr>
        <w:t>Digital</w:t>
      </w:r>
      <w:r>
        <w:t xml:space="preserve"> </w:t>
      </w:r>
      <w:r>
        <w:rPr>
          <w:rFonts w:hint="eastAsia"/>
        </w:rPr>
        <w:t>Assistant</w:t>
      </w:r>
      <w:r>
        <w:rPr>
          <w:rFonts w:hint="eastAsia"/>
          <w:lang w:bidi="ar"/>
        </w:rPr>
        <w:t>）</w:t>
      </w:r>
    </w:p>
    <w:p>
      <w:pPr>
        <w:pStyle w:val="33"/>
        <w:numPr>
          <w:ilvl w:val="0"/>
          <w:numId w:val="4"/>
        </w:numPr>
        <w:tabs>
          <w:tab w:val="left" w:pos="839"/>
          <w:tab w:val="left" w:pos="840"/>
        </w:tabs>
        <w:rPr>
          <w:lang w:bidi="ar"/>
        </w:rPr>
      </w:pPr>
      <w:bookmarkStart w:id="152" w:name="_Toc57293267"/>
      <w:r>
        <w:rPr>
          <w:rFonts w:hint="eastAsia"/>
          <w:lang w:bidi="ar"/>
        </w:rPr>
        <w:t>门票编码规则</w:t>
      </w:r>
      <w:bookmarkEnd w:id="152"/>
    </w:p>
    <w:p>
      <w:pPr>
        <w:pStyle w:val="40"/>
        <w:numPr>
          <w:ilvl w:val="0"/>
          <w:numId w:val="0"/>
        </w:numPr>
        <w:ind w:left="418" w:hanging="417" w:hangingChars="199"/>
        <w:rPr>
          <w:rFonts w:hAnsi="宋体" w:cs="宋体"/>
          <w:lang w:bidi="ar"/>
        </w:rPr>
      </w:pPr>
      <w:r>
        <w:rPr>
          <w:rFonts w:hint="eastAsia" w:hAnsi="宋体" w:cs="宋体"/>
          <w:lang w:bidi="ar"/>
        </w:rPr>
        <w:t xml:space="preserve">    景区应按照表</w:t>
      </w:r>
      <w:r>
        <w:rPr>
          <w:rFonts w:hint="eastAsia" w:ascii="Times New Roman" w:hAnsi="Times New Roman" w:eastAsia="宋体" w:cs="Times New Roman"/>
          <w:kern w:val="2"/>
          <w:sz w:val="21"/>
          <w:szCs w:val="24"/>
          <w:lang w:val="en-US" w:eastAsia="zh-CN" w:bidi="ar-SA"/>
        </w:rPr>
        <w:t>1</w:t>
      </w:r>
      <w:r>
        <w:rPr>
          <w:rFonts w:hint="eastAsia" w:hAnsi="宋体" w:cs="宋体"/>
          <w:lang w:bidi="ar"/>
        </w:rPr>
        <w:t>中的规则对各种介质的门票进行编码管理。</w:t>
      </w:r>
    </w:p>
    <w:p>
      <w:pPr>
        <w:pStyle w:val="40"/>
        <w:numPr>
          <w:ilvl w:val="0"/>
          <w:numId w:val="0"/>
        </w:numPr>
        <w:spacing w:before="156" w:beforeLines="50" w:after="156" w:afterLines="50"/>
        <w:ind w:firstLine="420" w:firstLineChars="200"/>
        <w:jc w:val="center"/>
        <w:rPr>
          <w:rFonts w:ascii="黑体" w:eastAsia="黑体"/>
          <w:lang w:bidi="ar"/>
        </w:rPr>
      </w:pPr>
      <w:r>
        <w:rPr>
          <w:rFonts w:hint="eastAsia" w:ascii="黑体" w:eastAsia="黑体"/>
          <w:lang w:bidi="ar"/>
        </w:rPr>
        <w:t>表1  门票编码规则</w:t>
      </w:r>
    </w:p>
    <w:tbl>
      <w:tblPr>
        <w:tblStyle w:val="15"/>
        <w:tblW w:w="0" w:type="auto"/>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2780"/>
        <w:gridCol w:w="640"/>
        <w:gridCol w:w="3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pStyle w:val="40"/>
              <w:numPr>
                <w:ilvl w:val="0"/>
                <w:numId w:val="0"/>
              </w:numPr>
              <w:jc w:val="center"/>
              <w:rPr>
                <w:rFonts w:hAnsi="宋体" w:cs="宋体"/>
                <w:sz w:val="18"/>
                <w:szCs w:val="18"/>
                <w:lang w:bidi="ar"/>
              </w:rPr>
            </w:pPr>
            <w:r>
              <w:rPr>
                <w:rFonts w:hint="eastAsia" w:hAnsi="宋体" w:cs="宋体"/>
                <w:sz w:val="18"/>
                <w:szCs w:val="18"/>
                <w:lang w:bidi="ar"/>
              </w:rPr>
              <w:t>门票编码</w:t>
            </w:r>
          </w:p>
        </w:tc>
        <w:tc>
          <w:tcPr>
            <w:tcW w:w="2780" w:type="dxa"/>
          </w:tcPr>
          <w:p>
            <w:pPr>
              <w:pStyle w:val="40"/>
              <w:numPr>
                <w:ilvl w:val="0"/>
                <w:numId w:val="0"/>
              </w:numPr>
              <w:jc w:val="center"/>
              <w:rPr>
                <w:rFonts w:hAnsi="宋体" w:cs="宋体"/>
                <w:sz w:val="18"/>
                <w:szCs w:val="18"/>
                <w:lang w:bidi="ar"/>
              </w:rPr>
            </w:pPr>
            <w:r>
              <w:rPr>
                <w:rFonts w:hint="eastAsia" w:hAnsi="宋体" w:cs="宋体"/>
                <w:sz w:val="18"/>
                <w:szCs w:val="18"/>
                <w:lang w:bidi="ar"/>
              </w:rPr>
              <w:t>定义</w:t>
            </w:r>
          </w:p>
        </w:tc>
        <w:tc>
          <w:tcPr>
            <w:tcW w:w="640" w:type="dxa"/>
          </w:tcPr>
          <w:p>
            <w:pPr>
              <w:pStyle w:val="40"/>
              <w:numPr>
                <w:ilvl w:val="0"/>
                <w:numId w:val="0"/>
              </w:numPr>
              <w:jc w:val="center"/>
              <w:rPr>
                <w:rFonts w:hAnsi="宋体" w:cs="宋体"/>
                <w:sz w:val="18"/>
                <w:szCs w:val="18"/>
                <w:lang w:bidi="ar"/>
              </w:rPr>
            </w:pPr>
            <w:r>
              <w:rPr>
                <w:rFonts w:hint="eastAsia" w:hAnsi="宋体" w:cs="宋体"/>
                <w:sz w:val="18"/>
                <w:szCs w:val="18"/>
                <w:lang w:bidi="ar"/>
              </w:rPr>
              <w:t>位数</w:t>
            </w:r>
          </w:p>
        </w:tc>
        <w:tc>
          <w:tcPr>
            <w:tcW w:w="3529" w:type="dxa"/>
          </w:tcPr>
          <w:p>
            <w:pPr>
              <w:pStyle w:val="40"/>
              <w:numPr>
                <w:ilvl w:val="0"/>
                <w:numId w:val="0"/>
              </w:numPr>
              <w:jc w:val="center"/>
              <w:rPr>
                <w:rFonts w:hAnsi="宋体" w:cs="宋体"/>
                <w:sz w:val="18"/>
                <w:szCs w:val="18"/>
                <w:lang w:bidi="ar"/>
              </w:rPr>
            </w:pPr>
            <w:r>
              <w:rPr>
                <w:rFonts w:hint="eastAsia" w:hAnsi="宋体" w:cs="宋体"/>
                <w:sz w:val="18"/>
                <w:szCs w:val="18"/>
                <w:lang w:bidi="ar"/>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pStyle w:val="40"/>
              <w:numPr>
                <w:ilvl w:val="0"/>
                <w:numId w:val="0"/>
              </w:numPr>
              <w:rPr>
                <w:rFonts w:hAnsi="宋体" w:cs="宋体"/>
                <w:sz w:val="18"/>
                <w:szCs w:val="18"/>
                <w:lang w:bidi="ar"/>
              </w:rPr>
            </w:pPr>
            <w:r>
              <w:rPr>
                <w:rFonts w:hint="eastAsia" w:hAnsi="宋体" w:cs="宋体"/>
                <w:sz w:val="18"/>
                <w:szCs w:val="18"/>
                <w:lang w:bidi="ar"/>
              </w:rPr>
              <w:t>门票介质</w:t>
            </w:r>
          </w:p>
        </w:tc>
        <w:tc>
          <w:tcPr>
            <w:tcW w:w="2780" w:type="dxa"/>
          </w:tcPr>
          <w:p>
            <w:pPr>
              <w:pStyle w:val="40"/>
              <w:numPr>
                <w:ilvl w:val="0"/>
                <w:numId w:val="0"/>
              </w:numPr>
              <w:rPr>
                <w:rFonts w:hAnsi="宋体" w:cs="宋体"/>
                <w:sz w:val="18"/>
                <w:szCs w:val="18"/>
                <w:lang w:bidi="ar"/>
              </w:rPr>
            </w:pPr>
            <w:r>
              <w:rPr>
                <w:rFonts w:hint="eastAsia" w:hAnsi="宋体" w:cs="宋体"/>
                <w:sz w:val="18"/>
                <w:szCs w:val="18"/>
                <w:lang w:bidi="ar"/>
              </w:rPr>
              <w:t>门票实际使用的介质</w:t>
            </w:r>
          </w:p>
        </w:tc>
        <w:tc>
          <w:tcPr>
            <w:tcW w:w="640" w:type="dxa"/>
          </w:tcPr>
          <w:p>
            <w:pPr>
              <w:pStyle w:val="40"/>
              <w:numPr>
                <w:ilvl w:val="0"/>
                <w:numId w:val="0"/>
              </w:numPr>
              <w:rPr>
                <w:rFonts w:hAnsi="宋体" w:cs="宋体"/>
                <w:sz w:val="18"/>
                <w:szCs w:val="18"/>
                <w:lang w:bidi="ar"/>
              </w:rPr>
            </w:pPr>
            <w:r>
              <w:rPr>
                <w:rFonts w:hint="eastAsia" w:hAnsi="宋体" w:cs="宋体"/>
                <w:sz w:val="18"/>
                <w:szCs w:val="18"/>
                <w:lang w:bidi="ar"/>
              </w:rPr>
              <w:t>2</w:t>
            </w:r>
          </w:p>
        </w:tc>
        <w:tc>
          <w:tcPr>
            <w:tcW w:w="3529" w:type="dxa"/>
          </w:tcPr>
          <w:p>
            <w:pPr>
              <w:pStyle w:val="40"/>
              <w:numPr>
                <w:ilvl w:val="0"/>
                <w:numId w:val="0"/>
              </w:numPr>
              <w:rPr>
                <w:rFonts w:hAnsi="宋体" w:cs="宋体"/>
                <w:sz w:val="18"/>
                <w:szCs w:val="18"/>
                <w:lang w:bidi="ar"/>
              </w:rPr>
            </w:pPr>
            <w:r>
              <w:rPr>
                <w:rFonts w:hint="eastAsia" w:hAnsi="宋体" w:cs="宋体"/>
                <w:sz w:val="18"/>
                <w:szCs w:val="18"/>
                <w:lang w:bidi="ar"/>
              </w:rPr>
              <w:t>例：00-实体类入园凭证，01-二维码，02-身份证，03-其它RFID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pStyle w:val="40"/>
              <w:numPr>
                <w:ilvl w:val="0"/>
                <w:numId w:val="0"/>
              </w:numPr>
              <w:rPr>
                <w:rFonts w:hAnsi="宋体" w:cs="宋体"/>
                <w:sz w:val="18"/>
                <w:szCs w:val="18"/>
                <w:lang w:bidi="ar"/>
              </w:rPr>
            </w:pPr>
            <w:r>
              <w:rPr>
                <w:rFonts w:hint="eastAsia" w:hAnsi="宋体" w:cs="宋体"/>
                <w:sz w:val="18"/>
                <w:szCs w:val="18"/>
                <w:lang w:bidi="ar"/>
              </w:rPr>
              <w:t>景区类别代码</w:t>
            </w:r>
          </w:p>
        </w:tc>
        <w:tc>
          <w:tcPr>
            <w:tcW w:w="2780" w:type="dxa"/>
          </w:tcPr>
          <w:p>
            <w:pPr>
              <w:pStyle w:val="40"/>
              <w:numPr>
                <w:ilvl w:val="0"/>
                <w:numId w:val="0"/>
              </w:numPr>
              <w:rPr>
                <w:rFonts w:hAnsi="宋体" w:cs="宋体"/>
                <w:sz w:val="18"/>
                <w:szCs w:val="18"/>
                <w:lang w:bidi="ar"/>
              </w:rPr>
            </w:pPr>
            <w:r>
              <w:rPr>
                <w:rFonts w:hint="eastAsia" w:hAnsi="宋体" w:cs="宋体"/>
                <w:sz w:val="18"/>
                <w:szCs w:val="18"/>
                <w:lang w:bidi="ar"/>
              </w:rPr>
              <w:t>区分国家级与省级风景名胜区</w:t>
            </w:r>
          </w:p>
        </w:tc>
        <w:tc>
          <w:tcPr>
            <w:tcW w:w="640" w:type="dxa"/>
          </w:tcPr>
          <w:p>
            <w:pPr>
              <w:pStyle w:val="40"/>
              <w:numPr>
                <w:ilvl w:val="0"/>
                <w:numId w:val="0"/>
              </w:numPr>
              <w:rPr>
                <w:rFonts w:hAnsi="宋体" w:cs="宋体"/>
                <w:sz w:val="18"/>
                <w:szCs w:val="18"/>
                <w:lang w:bidi="ar"/>
              </w:rPr>
            </w:pPr>
            <w:r>
              <w:rPr>
                <w:rFonts w:hint="eastAsia" w:hAnsi="宋体" w:cs="宋体"/>
                <w:sz w:val="18"/>
                <w:szCs w:val="18"/>
                <w:lang w:bidi="ar"/>
              </w:rPr>
              <w:t>1</w:t>
            </w:r>
          </w:p>
        </w:tc>
        <w:tc>
          <w:tcPr>
            <w:tcW w:w="3529" w:type="dxa"/>
          </w:tcPr>
          <w:p>
            <w:pPr>
              <w:pStyle w:val="40"/>
              <w:numPr>
                <w:ilvl w:val="0"/>
                <w:numId w:val="0"/>
              </w:numPr>
              <w:rPr>
                <w:rFonts w:hAnsi="宋体" w:cs="宋体"/>
                <w:sz w:val="18"/>
                <w:szCs w:val="18"/>
                <w:lang w:bidi="ar"/>
              </w:rPr>
            </w:pPr>
            <w:r>
              <w:rPr>
                <w:rFonts w:hint="eastAsia" w:hAnsi="宋体" w:cs="宋体"/>
                <w:sz w:val="18"/>
                <w:szCs w:val="18"/>
                <w:lang w:bidi="ar"/>
              </w:rPr>
              <w:t>0-国家级，1-省级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pStyle w:val="40"/>
              <w:numPr>
                <w:ilvl w:val="0"/>
                <w:numId w:val="0"/>
              </w:numPr>
              <w:rPr>
                <w:rFonts w:hAnsi="宋体" w:cs="宋体"/>
                <w:sz w:val="18"/>
                <w:szCs w:val="18"/>
                <w:lang w:bidi="ar"/>
              </w:rPr>
            </w:pPr>
            <w:r>
              <w:rPr>
                <w:rFonts w:hint="eastAsia" w:hAnsi="宋体" w:cs="宋体"/>
                <w:sz w:val="18"/>
                <w:szCs w:val="18"/>
                <w:lang w:bidi="ar"/>
              </w:rPr>
              <w:t>景区代码</w:t>
            </w:r>
          </w:p>
        </w:tc>
        <w:tc>
          <w:tcPr>
            <w:tcW w:w="2780" w:type="dxa"/>
          </w:tcPr>
          <w:p>
            <w:pPr>
              <w:pStyle w:val="40"/>
              <w:numPr>
                <w:ilvl w:val="0"/>
                <w:numId w:val="0"/>
              </w:numPr>
              <w:rPr>
                <w:rFonts w:hAnsi="宋体" w:cs="宋体"/>
                <w:sz w:val="18"/>
                <w:szCs w:val="18"/>
                <w:lang w:bidi="ar"/>
              </w:rPr>
            </w:pPr>
            <w:r>
              <w:rPr>
                <w:rFonts w:hint="eastAsia" w:hAnsi="宋体" w:cs="宋体"/>
                <w:sz w:val="18"/>
                <w:szCs w:val="18"/>
                <w:lang w:bidi="ar"/>
              </w:rPr>
              <w:t>景区序号代码</w:t>
            </w:r>
          </w:p>
        </w:tc>
        <w:tc>
          <w:tcPr>
            <w:tcW w:w="640" w:type="dxa"/>
          </w:tcPr>
          <w:p>
            <w:pPr>
              <w:pStyle w:val="40"/>
              <w:numPr>
                <w:ilvl w:val="0"/>
                <w:numId w:val="0"/>
              </w:numPr>
              <w:rPr>
                <w:rFonts w:hAnsi="宋体" w:cs="宋体"/>
                <w:sz w:val="18"/>
                <w:szCs w:val="18"/>
                <w:lang w:bidi="ar"/>
              </w:rPr>
            </w:pPr>
            <w:r>
              <w:rPr>
                <w:rFonts w:hint="eastAsia" w:hAnsi="宋体" w:cs="宋体"/>
                <w:sz w:val="18"/>
                <w:szCs w:val="18"/>
                <w:lang w:bidi="ar"/>
              </w:rPr>
              <w:t>3</w:t>
            </w:r>
          </w:p>
        </w:tc>
        <w:tc>
          <w:tcPr>
            <w:tcW w:w="3529" w:type="dxa"/>
          </w:tcPr>
          <w:p>
            <w:pPr>
              <w:pStyle w:val="40"/>
              <w:numPr>
                <w:ilvl w:val="0"/>
                <w:numId w:val="0"/>
              </w:numPr>
              <w:rPr>
                <w:rFonts w:hAnsi="宋体" w:cs="宋体"/>
                <w:sz w:val="18"/>
                <w:szCs w:val="18"/>
                <w:lang w:bidi="ar"/>
              </w:rPr>
            </w:pPr>
            <w:r>
              <w:rPr>
                <w:rFonts w:hint="eastAsia" w:hAnsi="宋体" w:cs="宋体"/>
                <w:sz w:val="18"/>
                <w:szCs w:val="18"/>
                <w:lang w:bidi="ar"/>
              </w:rPr>
              <w:t>国家级按照国务院审定公布批次和顺序编码；省级按照省人民政府审定公布批次和顺序编码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pStyle w:val="40"/>
              <w:numPr>
                <w:ilvl w:val="0"/>
                <w:numId w:val="0"/>
              </w:numPr>
              <w:rPr>
                <w:rFonts w:hAnsi="宋体" w:cs="宋体"/>
                <w:sz w:val="18"/>
                <w:szCs w:val="18"/>
                <w:lang w:bidi="ar"/>
              </w:rPr>
            </w:pPr>
            <w:r>
              <w:rPr>
                <w:rFonts w:hint="eastAsia" w:hAnsi="宋体" w:cs="宋体"/>
                <w:sz w:val="18"/>
                <w:szCs w:val="18"/>
                <w:lang w:bidi="ar"/>
              </w:rPr>
              <w:t>预约日期</w:t>
            </w:r>
          </w:p>
        </w:tc>
        <w:tc>
          <w:tcPr>
            <w:tcW w:w="2780" w:type="dxa"/>
          </w:tcPr>
          <w:p>
            <w:pPr>
              <w:pStyle w:val="40"/>
              <w:numPr>
                <w:ilvl w:val="0"/>
                <w:numId w:val="0"/>
              </w:numPr>
              <w:rPr>
                <w:rFonts w:hAnsi="宋体" w:cs="宋体"/>
                <w:sz w:val="18"/>
                <w:szCs w:val="18"/>
                <w:lang w:bidi="ar"/>
              </w:rPr>
            </w:pPr>
            <w:r>
              <w:rPr>
                <w:rFonts w:hint="eastAsia" w:hAnsi="宋体" w:cs="宋体"/>
                <w:sz w:val="18"/>
                <w:szCs w:val="18"/>
                <w:lang w:bidi="ar"/>
              </w:rPr>
              <w:t>门票预约日期</w:t>
            </w:r>
          </w:p>
        </w:tc>
        <w:tc>
          <w:tcPr>
            <w:tcW w:w="640" w:type="dxa"/>
          </w:tcPr>
          <w:p>
            <w:pPr>
              <w:pStyle w:val="40"/>
              <w:numPr>
                <w:ilvl w:val="0"/>
                <w:numId w:val="0"/>
              </w:numPr>
              <w:rPr>
                <w:rFonts w:hAnsi="宋体" w:cs="宋体"/>
                <w:sz w:val="18"/>
                <w:szCs w:val="18"/>
                <w:lang w:bidi="ar"/>
              </w:rPr>
            </w:pPr>
            <w:r>
              <w:rPr>
                <w:rFonts w:hint="eastAsia" w:hAnsi="宋体" w:cs="宋体"/>
                <w:sz w:val="18"/>
                <w:szCs w:val="18"/>
                <w:lang w:bidi="ar"/>
              </w:rPr>
              <w:t>8</w:t>
            </w:r>
          </w:p>
        </w:tc>
        <w:tc>
          <w:tcPr>
            <w:tcW w:w="3529" w:type="dxa"/>
          </w:tcPr>
          <w:p>
            <w:pPr>
              <w:pStyle w:val="40"/>
              <w:numPr>
                <w:ilvl w:val="0"/>
                <w:numId w:val="0"/>
              </w:numPr>
              <w:rPr>
                <w:rFonts w:hAnsi="宋体" w:cs="宋体"/>
                <w:sz w:val="18"/>
                <w:szCs w:val="18"/>
                <w:lang w:bidi="ar"/>
              </w:rPr>
            </w:pPr>
            <w:r>
              <w:rPr>
                <w:rFonts w:hint="eastAsia" w:hAnsi="宋体" w:cs="宋体"/>
                <w:sz w:val="18"/>
                <w:szCs w:val="18"/>
                <w:lang w:bidi="ar"/>
              </w:rPr>
              <w:t>例：20200101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pStyle w:val="40"/>
              <w:numPr>
                <w:ilvl w:val="0"/>
                <w:numId w:val="0"/>
              </w:numPr>
              <w:rPr>
                <w:rFonts w:hAnsi="宋体" w:cs="宋体"/>
                <w:sz w:val="18"/>
                <w:szCs w:val="18"/>
                <w:lang w:bidi="ar"/>
              </w:rPr>
            </w:pPr>
            <w:r>
              <w:rPr>
                <w:rFonts w:hint="eastAsia" w:hAnsi="宋体" w:cs="宋体"/>
                <w:sz w:val="18"/>
                <w:szCs w:val="18"/>
                <w:lang w:bidi="ar"/>
              </w:rPr>
              <w:t>预约时段</w:t>
            </w:r>
          </w:p>
        </w:tc>
        <w:tc>
          <w:tcPr>
            <w:tcW w:w="2780" w:type="dxa"/>
          </w:tcPr>
          <w:p>
            <w:pPr>
              <w:pStyle w:val="40"/>
              <w:numPr>
                <w:ilvl w:val="0"/>
                <w:numId w:val="0"/>
              </w:numPr>
              <w:rPr>
                <w:rFonts w:hAnsi="宋体" w:cs="宋体"/>
                <w:sz w:val="18"/>
                <w:szCs w:val="18"/>
                <w:lang w:bidi="ar"/>
              </w:rPr>
            </w:pPr>
            <w:r>
              <w:rPr>
                <w:rFonts w:hint="eastAsia" w:hAnsi="宋体" w:cs="宋体"/>
                <w:sz w:val="18"/>
                <w:szCs w:val="18"/>
                <w:lang w:bidi="ar"/>
              </w:rPr>
              <w:t>门票预约时段</w:t>
            </w:r>
          </w:p>
        </w:tc>
        <w:tc>
          <w:tcPr>
            <w:tcW w:w="640" w:type="dxa"/>
          </w:tcPr>
          <w:p>
            <w:pPr>
              <w:pStyle w:val="40"/>
              <w:numPr>
                <w:ilvl w:val="0"/>
                <w:numId w:val="0"/>
              </w:numPr>
              <w:rPr>
                <w:rFonts w:hAnsi="宋体" w:cs="宋体"/>
                <w:sz w:val="18"/>
                <w:szCs w:val="18"/>
                <w:lang w:bidi="ar"/>
              </w:rPr>
            </w:pPr>
            <w:r>
              <w:rPr>
                <w:rFonts w:hint="eastAsia" w:hAnsi="宋体" w:cs="宋体"/>
                <w:sz w:val="18"/>
                <w:szCs w:val="18"/>
                <w:lang w:bidi="ar"/>
              </w:rPr>
              <w:t>1</w:t>
            </w:r>
          </w:p>
        </w:tc>
        <w:tc>
          <w:tcPr>
            <w:tcW w:w="3529" w:type="dxa"/>
          </w:tcPr>
          <w:p>
            <w:pPr>
              <w:pStyle w:val="40"/>
              <w:numPr>
                <w:ilvl w:val="0"/>
                <w:numId w:val="0"/>
              </w:numPr>
              <w:rPr>
                <w:rFonts w:hAnsi="宋体" w:cs="宋体"/>
                <w:sz w:val="18"/>
                <w:szCs w:val="18"/>
                <w:lang w:bidi="ar"/>
              </w:rPr>
            </w:pPr>
            <w:r>
              <w:rPr>
                <w:rFonts w:hint="eastAsia" w:hAnsi="宋体" w:cs="宋体"/>
                <w:sz w:val="18"/>
                <w:szCs w:val="18"/>
                <w:lang w:bidi="ar"/>
              </w:rPr>
              <w:t>例：0</w:t>
            </w:r>
            <w:r>
              <w:rPr>
                <w:rFonts w:hAnsi="宋体" w:cs="宋体"/>
                <w:sz w:val="18"/>
                <w:szCs w:val="18"/>
                <w:lang w:bidi="ar"/>
              </w:rPr>
              <w:t>:</w:t>
            </w:r>
            <w:r>
              <w:rPr>
                <w:rFonts w:hint="eastAsia" w:hAnsi="宋体" w:cs="宋体"/>
                <w:sz w:val="18"/>
                <w:szCs w:val="18"/>
                <w:lang w:bidi="ar"/>
              </w:rPr>
              <w:t>7</w:t>
            </w:r>
            <w:r>
              <w:rPr>
                <w:rFonts w:hAnsi="宋体" w:cs="宋体"/>
                <w:sz w:val="18"/>
                <w:szCs w:val="18"/>
                <w:lang w:bidi="ar"/>
              </w:rPr>
              <w:t>-12</w:t>
            </w:r>
            <w:r>
              <w:rPr>
                <w:rFonts w:hint="eastAsia" w:hAnsi="宋体" w:cs="宋体"/>
                <w:sz w:val="18"/>
                <w:szCs w:val="18"/>
                <w:lang w:bidi="ar"/>
              </w:rPr>
              <w:t>，1</w:t>
            </w:r>
            <w:r>
              <w:rPr>
                <w:rFonts w:hAnsi="宋体" w:cs="宋体"/>
                <w:sz w:val="18"/>
                <w:szCs w:val="18"/>
                <w:lang w:bidi="ar"/>
              </w:rPr>
              <w:t>:</w:t>
            </w:r>
            <w:r>
              <w:rPr>
                <w:rFonts w:hint="eastAsia" w:hAnsi="宋体" w:cs="宋体"/>
                <w:sz w:val="18"/>
                <w:szCs w:val="18"/>
                <w:lang w:bidi="ar"/>
              </w:rPr>
              <w:t>1</w:t>
            </w:r>
            <w:r>
              <w:rPr>
                <w:rFonts w:hAnsi="宋体" w:cs="宋体"/>
                <w:sz w:val="18"/>
                <w:szCs w:val="18"/>
                <w:lang w:bidi="ar"/>
              </w:rPr>
              <w:t>2-17</w:t>
            </w:r>
            <w:r>
              <w:rPr>
                <w:rFonts w:hint="eastAsia" w:hAnsi="宋体" w:cs="宋体"/>
                <w:sz w:val="18"/>
                <w:szCs w:val="18"/>
                <w:lang w:bidi="ar"/>
              </w:rPr>
              <w:t xml:space="preserve"> 2</w:t>
            </w:r>
            <w:r>
              <w:rPr>
                <w:rFonts w:hAnsi="宋体" w:cs="宋体"/>
                <w:sz w:val="18"/>
                <w:szCs w:val="18"/>
                <w:lang w:bidi="ar"/>
              </w:rPr>
              <w:t>:</w:t>
            </w:r>
            <w:r>
              <w:rPr>
                <w:rFonts w:hint="eastAsia" w:hAnsi="宋体" w:cs="宋体"/>
                <w:sz w:val="18"/>
                <w:szCs w:val="18"/>
                <w:lang w:bidi="ar"/>
              </w:rPr>
              <w:t>1</w:t>
            </w:r>
            <w:r>
              <w:rPr>
                <w:rFonts w:hAnsi="宋体" w:cs="宋体"/>
                <w:sz w:val="18"/>
                <w:szCs w:val="18"/>
                <w:lang w:bidi="ar"/>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pStyle w:val="40"/>
              <w:numPr>
                <w:ilvl w:val="0"/>
                <w:numId w:val="0"/>
              </w:numPr>
              <w:rPr>
                <w:rFonts w:hAnsi="宋体" w:cs="宋体"/>
                <w:sz w:val="18"/>
                <w:szCs w:val="18"/>
                <w:lang w:bidi="ar"/>
              </w:rPr>
            </w:pPr>
            <w:r>
              <w:rPr>
                <w:rFonts w:hint="eastAsia" w:hAnsi="宋体" w:cs="宋体"/>
                <w:sz w:val="18"/>
                <w:szCs w:val="18"/>
                <w:lang w:bidi="ar"/>
              </w:rPr>
              <w:t>启用日期</w:t>
            </w:r>
          </w:p>
        </w:tc>
        <w:tc>
          <w:tcPr>
            <w:tcW w:w="2780" w:type="dxa"/>
          </w:tcPr>
          <w:p>
            <w:pPr>
              <w:pStyle w:val="40"/>
              <w:numPr>
                <w:ilvl w:val="0"/>
                <w:numId w:val="0"/>
              </w:numPr>
              <w:rPr>
                <w:rFonts w:hAnsi="宋体" w:cs="宋体"/>
                <w:sz w:val="18"/>
                <w:szCs w:val="18"/>
                <w:lang w:bidi="ar"/>
              </w:rPr>
            </w:pPr>
            <w:r>
              <w:rPr>
                <w:rFonts w:hint="eastAsia" w:hAnsi="宋体" w:cs="宋体"/>
                <w:sz w:val="18"/>
                <w:szCs w:val="18"/>
                <w:lang w:bidi="ar"/>
              </w:rPr>
              <w:t>门票启用日期</w:t>
            </w:r>
          </w:p>
        </w:tc>
        <w:tc>
          <w:tcPr>
            <w:tcW w:w="640" w:type="dxa"/>
          </w:tcPr>
          <w:p>
            <w:pPr>
              <w:pStyle w:val="40"/>
              <w:numPr>
                <w:ilvl w:val="0"/>
                <w:numId w:val="0"/>
              </w:numPr>
              <w:rPr>
                <w:rFonts w:hAnsi="宋体" w:cs="宋体"/>
                <w:sz w:val="18"/>
                <w:szCs w:val="18"/>
                <w:lang w:bidi="ar"/>
              </w:rPr>
            </w:pPr>
            <w:r>
              <w:rPr>
                <w:rFonts w:hint="eastAsia" w:hAnsi="宋体" w:cs="宋体"/>
                <w:sz w:val="18"/>
                <w:szCs w:val="18"/>
                <w:lang w:bidi="ar"/>
              </w:rPr>
              <w:t>8</w:t>
            </w:r>
          </w:p>
        </w:tc>
        <w:tc>
          <w:tcPr>
            <w:tcW w:w="3529" w:type="dxa"/>
          </w:tcPr>
          <w:p>
            <w:pPr>
              <w:pStyle w:val="40"/>
              <w:numPr>
                <w:ilvl w:val="0"/>
                <w:numId w:val="0"/>
              </w:numPr>
              <w:rPr>
                <w:rFonts w:hAnsi="宋体" w:cs="宋体"/>
                <w:sz w:val="18"/>
                <w:szCs w:val="18"/>
                <w:lang w:bidi="ar"/>
              </w:rPr>
            </w:pPr>
            <w:r>
              <w:rPr>
                <w:rFonts w:hint="eastAsia" w:hAnsi="宋体" w:cs="宋体"/>
                <w:sz w:val="18"/>
                <w:szCs w:val="18"/>
                <w:lang w:bidi="ar"/>
              </w:rPr>
              <w:t>例：20200101</w:t>
            </w:r>
          </w:p>
        </w:tc>
      </w:tr>
    </w:tbl>
    <w:p>
      <w:pPr>
        <w:pStyle w:val="40"/>
        <w:numPr>
          <w:ilvl w:val="0"/>
          <w:numId w:val="0"/>
        </w:numPr>
        <w:spacing w:before="156" w:beforeLines="50" w:after="156" w:afterLines="50"/>
        <w:ind w:firstLine="420" w:firstLineChars="200"/>
        <w:jc w:val="center"/>
        <w:rPr>
          <w:lang w:bidi="ar"/>
        </w:rPr>
      </w:pPr>
      <w:bookmarkStart w:id="153" w:name="_Toc52373504"/>
      <w:bookmarkEnd w:id="153"/>
      <w:bookmarkStart w:id="154" w:name="_Toc52372852"/>
      <w:bookmarkEnd w:id="154"/>
      <w:bookmarkStart w:id="155" w:name="_Toc52373894"/>
      <w:bookmarkEnd w:id="155"/>
      <w:bookmarkStart w:id="156" w:name="_Toc52372856"/>
      <w:bookmarkEnd w:id="156"/>
      <w:bookmarkStart w:id="157" w:name="_Toc52373505"/>
      <w:bookmarkEnd w:id="157"/>
      <w:bookmarkStart w:id="158" w:name="_Toc52373724"/>
      <w:bookmarkEnd w:id="158"/>
      <w:bookmarkStart w:id="159" w:name="_Toc52373889"/>
      <w:bookmarkEnd w:id="159"/>
      <w:bookmarkStart w:id="160" w:name="_Toc52372851"/>
      <w:bookmarkEnd w:id="160"/>
      <w:bookmarkStart w:id="161" w:name="_Toc52373506"/>
      <w:bookmarkEnd w:id="161"/>
      <w:bookmarkStart w:id="162" w:name="_Toc52373890"/>
      <w:bookmarkEnd w:id="162"/>
      <w:bookmarkStart w:id="163" w:name="_Toc52373726"/>
      <w:bookmarkEnd w:id="163"/>
      <w:bookmarkStart w:id="164" w:name="_Toc52373508"/>
      <w:bookmarkEnd w:id="164"/>
      <w:bookmarkStart w:id="165" w:name="_Toc52373728"/>
      <w:bookmarkEnd w:id="165"/>
      <w:bookmarkStart w:id="166" w:name="_Toc52372853"/>
      <w:bookmarkEnd w:id="166"/>
      <w:bookmarkStart w:id="167" w:name="_Toc52373725"/>
      <w:bookmarkEnd w:id="167"/>
      <w:bookmarkStart w:id="168" w:name="_Toc52373891"/>
      <w:bookmarkEnd w:id="168"/>
      <w:bookmarkStart w:id="169" w:name="_Toc52373895"/>
      <w:bookmarkEnd w:id="169"/>
      <w:bookmarkStart w:id="170" w:name="_Toc52373509"/>
      <w:bookmarkEnd w:id="170"/>
      <w:bookmarkStart w:id="171" w:name="_Toc52372855"/>
      <w:bookmarkEnd w:id="171"/>
      <w:bookmarkStart w:id="172" w:name="_Toc52373723"/>
      <w:bookmarkEnd w:id="172"/>
      <w:bookmarkStart w:id="173" w:name="_Toc52373893"/>
      <w:bookmarkEnd w:id="173"/>
      <w:bookmarkStart w:id="174" w:name="_Toc52373510"/>
      <w:bookmarkEnd w:id="174"/>
      <w:bookmarkStart w:id="175" w:name="_Toc52373727"/>
      <w:bookmarkEnd w:id="175"/>
      <w:bookmarkStart w:id="176" w:name="_Toc52373503"/>
      <w:bookmarkEnd w:id="176"/>
      <w:bookmarkStart w:id="177" w:name="_Toc52372854"/>
      <w:bookmarkEnd w:id="177"/>
      <w:bookmarkStart w:id="178" w:name="_Toc52373896"/>
      <w:bookmarkEnd w:id="178"/>
      <w:bookmarkStart w:id="179" w:name="_Toc52372857"/>
      <w:bookmarkEnd w:id="179"/>
      <w:bookmarkStart w:id="180" w:name="_Toc52373507"/>
      <w:bookmarkEnd w:id="180"/>
      <w:bookmarkStart w:id="181" w:name="_Toc52373892"/>
      <w:bookmarkEnd w:id="181"/>
      <w:bookmarkStart w:id="182" w:name="_Toc52373730"/>
      <w:bookmarkEnd w:id="182"/>
      <w:bookmarkStart w:id="183" w:name="_Toc52373729"/>
      <w:bookmarkEnd w:id="183"/>
      <w:bookmarkStart w:id="184" w:name="_Toc52372858"/>
      <w:bookmarkEnd w:id="184"/>
      <w:bookmarkStart w:id="185" w:name="_Toc52373531"/>
      <w:bookmarkStart w:id="186" w:name="_Toc57293268"/>
      <w:r>
        <w:rPr>
          <w:rFonts w:hint="eastAsia" w:ascii="黑体" w:eastAsia="黑体"/>
          <w:lang w:bidi="ar"/>
        </w:rPr>
        <w:t>表1  门票编码规则（续）</w:t>
      </w:r>
    </w:p>
    <w:tbl>
      <w:tblPr>
        <w:tblStyle w:val="15"/>
        <w:tblW w:w="0" w:type="auto"/>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2780"/>
        <w:gridCol w:w="640"/>
        <w:gridCol w:w="3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pStyle w:val="40"/>
              <w:numPr>
                <w:ilvl w:val="0"/>
                <w:numId w:val="0"/>
              </w:numPr>
              <w:jc w:val="center"/>
              <w:rPr>
                <w:rFonts w:hAnsi="宋体" w:cs="宋体"/>
                <w:sz w:val="18"/>
                <w:szCs w:val="18"/>
                <w:lang w:bidi="ar"/>
              </w:rPr>
            </w:pPr>
            <w:r>
              <w:rPr>
                <w:rFonts w:hint="eastAsia" w:hAnsi="宋体" w:cs="宋体"/>
                <w:sz w:val="18"/>
                <w:szCs w:val="18"/>
                <w:lang w:bidi="ar"/>
              </w:rPr>
              <w:t>门票编码</w:t>
            </w:r>
          </w:p>
        </w:tc>
        <w:tc>
          <w:tcPr>
            <w:tcW w:w="2780" w:type="dxa"/>
          </w:tcPr>
          <w:p>
            <w:pPr>
              <w:pStyle w:val="40"/>
              <w:numPr>
                <w:ilvl w:val="0"/>
                <w:numId w:val="0"/>
              </w:numPr>
              <w:jc w:val="center"/>
              <w:rPr>
                <w:rFonts w:hAnsi="宋体" w:cs="宋体"/>
                <w:sz w:val="18"/>
                <w:szCs w:val="18"/>
                <w:lang w:bidi="ar"/>
              </w:rPr>
            </w:pPr>
            <w:r>
              <w:rPr>
                <w:rFonts w:hint="eastAsia" w:hAnsi="宋体" w:cs="宋体"/>
                <w:sz w:val="18"/>
                <w:szCs w:val="18"/>
                <w:lang w:bidi="ar"/>
              </w:rPr>
              <w:t>定义</w:t>
            </w:r>
          </w:p>
        </w:tc>
        <w:tc>
          <w:tcPr>
            <w:tcW w:w="640" w:type="dxa"/>
          </w:tcPr>
          <w:p>
            <w:pPr>
              <w:pStyle w:val="40"/>
              <w:numPr>
                <w:ilvl w:val="0"/>
                <w:numId w:val="0"/>
              </w:numPr>
              <w:jc w:val="center"/>
              <w:rPr>
                <w:rFonts w:hAnsi="宋体" w:cs="宋体"/>
                <w:sz w:val="18"/>
                <w:szCs w:val="18"/>
                <w:lang w:bidi="ar"/>
              </w:rPr>
            </w:pPr>
            <w:r>
              <w:rPr>
                <w:rFonts w:hint="eastAsia" w:hAnsi="宋体" w:cs="宋体"/>
                <w:sz w:val="18"/>
                <w:szCs w:val="18"/>
                <w:lang w:bidi="ar"/>
              </w:rPr>
              <w:t>位数</w:t>
            </w:r>
          </w:p>
        </w:tc>
        <w:tc>
          <w:tcPr>
            <w:tcW w:w="3529" w:type="dxa"/>
          </w:tcPr>
          <w:p>
            <w:pPr>
              <w:pStyle w:val="40"/>
              <w:numPr>
                <w:ilvl w:val="0"/>
                <w:numId w:val="0"/>
              </w:numPr>
              <w:jc w:val="center"/>
              <w:rPr>
                <w:rFonts w:hAnsi="宋体" w:cs="宋体"/>
                <w:sz w:val="18"/>
                <w:szCs w:val="18"/>
                <w:lang w:bidi="ar"/>
              </w:rPr>
            </w:pPr>
            <w:r>
              <w:rPr>
                <w:rFonts w:hint="eastAsia" w:hAnsi="宋体" w:cs="宋体"/>
                <w:sz w:val="18"/>
                <w:szCs w:val="18"/>
                <w:lang w:bidi="ar"/>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Pr>
          <w:p>
            <w:pPr>
              <w:pStyle w:val="40"/>
              <w:numPr>
                <w:ilvl w:val="0"/>
                <w:numId w:val="0"/>
              </w:numPr>
              <w:rPr>
                <w:rFonts w:hAnsi="宋体" w:cs="宋体"/>
                <w:sz w:val="18"/>
                <w:szCs w:val="18"/>
                <w:lang w:bidi="ar"/>
              </w:rPr>
            </w:pPr>
            <w:r>
              <w:rPr>
                <w:rFonts w:hint="eastAsia" w:hAnsi="宋体" w:cs="宋体"/>
                <w:sz w:val="18"/>
                <w:szCs w:val="18"/>
                <w:lang w:bidi="ar"/>
              </w:rPr>
              <w:t>序号</w:t>
            </w:r>
          </w:p>
        </w:tc>
        <w:tc>
          <w:tcPr>
            <w:tcW w:w="2780" w:type="dxa"/>
          </w:tcPr>
          <w:p>
            <w:pPr>
              <w:pStyle w:val="40"/>
              <w:numPr>
                <w:ilvl w:val="0"/>
                <w:numId w:val="0"/>
              </w:numPr>
              <w:rPr>
                <w:rFonts w:hAnsi="宋体" w:cs="宋体"/>
                <w:sz w:val="18"/>
                <w:szCs w:val="18"/>
                <w:lang w:bidi="ar"/>
              </w:rPr>
            </w:pPr>
            <w:r>
              <w:rPr>
                <w:rFonts w:hint="eastAsia" w:hAnsi="宋体" w:cs="宋体"/>
                <w:sz w:val="18"/>
                <w:szCs w:val="18"/>
                <w:lang w:bidi="ar"/>
              </w:rPr>
              <w:t>门票在启用日期当日的出票序号</w:t>
            </w:r>
          </w:p>
        </w:tc>
        <w:tc>
          <w:tcPr>
            <w:tcW w:w="640" w:type="dxa"/>
          </w:tcPr>
          <w:p>
            <w:pPr>
              <w:pStyle w:val="40"/>
              <w:numPr>
                <w:ilvl w:val="0"/>
                <w:numId w:val="0"/>
              </w:numPr>
              <w:rPr>
                <w:rFonts w:hAnsi="宋体" w:cs="宋体"/>
                <w:sz w:val="18"/>
                <w:szCs w:val="18"/>
                <w:lang w:bidi="ar"/>
              </w:rPr>
            </w:pPr>
            <w:r>
              <w:rPr>
                <w:rFonts w:hint="eastAsia" w:hAnsi="宋体" w:cs="宋体"/>
                <w:sz w:val="18"/>
                <w:szCs w:val="18"/>
                <w:lang w:bidi="ar"/>
              </w:rPr>
              <w:t>6</w:t>
            </w:r>
          </w:p>
        </w:tc>
        <w:tc>
          <w:tcPr>
            <w:tcW w:w="3529" w:type="dxa"/>
          </w:tcPr>
          <w:p>
            <w:pPr>
              <w:pStyle w:val="40"/>
              <w:numPr>
                <w:ilvl w:val="0"/>
                <w:numId w:val="0"/>
              </w:numPr>
              <w:rPr>
                <w:rFonts w:hAnsi="宋体" w:cs="宋体"/>
                <w:sz w:val="18"/>
                <w:szCs w:val="18"/>
                <w:lang w:bidi="ar"/>
              </w:rPr>
            </w:pPr>
            <w:r>
              <w:rPr>
                <w:rFonts w:hint="eastAsia" w:hAnsi="宋体" w:cs="宋体"/>
                <w:sz w:val="18"/>
                <w:szCs w:val="18"/>
                <w:lang w:bidi="ar"/>
              </w:rPr>
              <w:t>例：000001</w:t>
            </w:r>
          </w:p>
        </w:tc>
      </w:tr>
    </w:tbl>
    <w:p>
      <w:pPr>
        <w:pStyle w:val="33"/>
        <w:numPr>
          <w:ilvl w:val="0"/>
          <w:numId w:val="4"/>
        </w:numPr>
        <w:tabs>
          <w:tab w:val="left" w:pos="839"/>
          <w:tab w:val="left" w:pos="840"/>
        </w:tabs>
        <w:rPr>
          <w:lang w:bidi="ar"/>
        </w:rPr>
      </w:pPr>
      <w:r>
        <w:rPr>
          <w:rFonts w:hint="eastAsia"/>
          <w:lang w:bidi="ar"/>
        </w:rPr>
        <w:t>系统</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rFonts w:hint="eastAsia"/>
          <w:lang w:bidi="ar"/>
        </w:rPr>
        <w:t>结构</w:t>
      </w:r>
      <w:bookmarkEnd w:id="185"/>
      <w:bookmarkEnd w:id="186"/>
    </w:p>
    <w:p>
      <w:pPr>
        <w:pStyle w:val="46"/>
        <w:numPr>
          <w:ilvl w:val="1"/>
          <w:numId w:val="4"/>
        </w:numPr>
        <w:spacing w:before="156" w:after="156"/>
      </w:pPr>
      <w:bookmarkStart w:id="187" w:name="_Toc15942"/>
      <w:bookmarkStart w:id="188" w:name="_Toc52373918"/>
      <w:r>
        <w:rPr>
          <w:rFonts w:hint="eastAsia"/>
        </w:rPr>
        <w:t>系统结构图</w:t>
      </w:r>
      <w:bookmarkEnd w:id="187"/>
      <w:bookmarkEnd w:id="188"/>
    </w:p>
    <w:p>
      <w:pPr>
        <w:pStyle w:val="45"/>
        <w:numPr>
          <w:ilvl w:val="2"/>
          <w:numId w:val="4"/>
        </w:numPr>
        <w:spacing w:before="156" w:after="156"/>
      </w:pPr>
      <w:r>
        <w:t>门票系统架构图</w:t>
      </w:r>
    </w:p>
    <w:p>
      <w:r>
        <w:rPr>
          <w:rFonts w:hint="eastAsia"/>
        </w:rPr>
        <w:t xml:space="preserve">    门票系统架构图见图1，要求如下：</w:t>
      </w:r>
    </w:p>
    <w:p>
      <w:pPr>
        <w:pStyle w:val="40"/>
        <w:numPr>
          <w:ilvl w:val="0"/>
          <w:numId w:val="5"/>
        </w:numPr>
        <w:ind w:left="840" w:hanging="420"/>
      </w:pPr>
      <w:r>
        <w:rPr>
          <w:rFonts w:hint="eastAsia"/>
        </w:rPr>
        <w:t>感知层：通过物联感知设备实现门票系统数据采集，包括二维码、条形码、识读器、传感器、摄像头等；</w:t>
      </w:r>
      <w:r>
        <w:t xml:space="preserve"> </w:t>
      </w:r>
    </w:p>
    <w:p>
      <w:pPr>
        <w:pStyle w:val="40"/>
        <w:numPr>
          <w:ilvl w:val="0"/>
          <w:numId w:val="5"/>
        </w:numPr>
        <w:ind w:left="840" w:hanging="420"/>
      </w:pPr>
      <w:r>
        <w:rPr>
          <w:rFonts w:hint="eastAsia"/>
        </w:rPr>
        <w:t>数据</w:t>
      </w:r>
      <w:r>
        <w:t>层</w:t>
      </w:r>
      <w:r>
        <w:rPr>
          <w:rFonts w:hint="eastAsia"/>
        </w:rPr>
        <w:t>：</w:t>
      </w:r>
      <w:r>
        <w:t>主要</w:t>
      </w:r>
      <w:r>
        <w:rPr>
          <w:rFonts w:hint="eastAsia"/>
        </w:rPr>
        <w:t>包含</w:t>
      </w:r>
      <w:r>
        <w:t>格式化数据和非格式化数据的存储，为门票系统提供存储服务，包括业务数据库、日志数据库以及用</w:t>
      </w:r>
      <w:r>
        <w:rPr>
          <w:rFonts w:hint="eastAsia"/>
        </w:rPr>
        <w:t>于</w:t>
      </w:r>
      <w:r>
        <w:t>存储人像信息等内容的文件系统</w:t>
      </w:r>
      <w:r>
        <w:rPr>
          <w:rFonts w:hint="eastAsia"/>
        </w:rPr>
        <w:t>；</w:t>
      </w:r>
    </w:p>
    <w:p>
      <w:pPr>
        <w:pStyle w:val="40"/>
        <w:numPr>
          <w:ilvl w:val="0"/>
          <w:numId w:val="5"/>
        </w:numPr>
        <w:ind w:left="840" w:hanging="420"/>
      </w:pPr>
      <w:r>
        <w:rPr>
          <w:rFonts w:hint="eastAsia"/>
        </w:rPr>
        <w:t>网络层：支撑门票系统数据传输涉及的互联网、物联网、门票专网、3g/4g/5g网络等</w:t>
      </w:r>
      <w:r>
        <w:rPr>
          <w:rFonts w:hint="eastAsia"/>
          <w:lang w:eastAsia="zh-CN"/>
        </w:rPr>
        <w:t>；</w:t>
      </w:r>
    </w:p>
    <w:p>
      <w:pPr>
        <w:pStyle w:val="40"/>
        <w:numPr>
          <w:ilvl w:val="0"/>
          <w:numId w:val="5"/>
        </w:numPr>
        <w:ind w:left="840" w:hanging="420"/>
      </w:pPr>
      <w:r>
        <w:t>支撑层：主要为</w:t>
      </w:r>
      <w:r>
        <w:rPr>
          <w:rFonts w:hint="eastAsia"/>
        </w:rPr>
        <w:t>门票</w:t>
      </w:r>
      <w:r>
        <w:t>系统运行提供的支撑性底层技术性服务，其保障</w:t>
      </w:r>
      <w:r>
        <w:rPr>
          <w:rFonts w:hint="eastAsia"/>
        </w:rPr>
        <w:t>门票</w:t>
      </w:r>
      <w:r>
        <w:t>系统的高效性、稳定性和快速的数据交换。服务支撑层主要包括消息队列、缓存服务和安全管控等；</w:t>
      </w:r>
    </w:p>
    <w:p>
      <w:pPr>
        <w:pStyle w:val="40"/>
        <w:numPr>
          <w:ilvl w:val="0"/>
          <w:numId w:val="5"/>
        </w:numPr>
        <w:ind w:left="840" w:hanging="420"/>
      </w:pPr>
      <w:r>
        <w:t>服务层：服务层是以业务应用为主的业务层服务，为</w:t>
      </w:r>
      <w:r>
        <w:rPr>
          <w:rFonts w:hint="eastAsia"/>
        </w:rPr>
        <w:t>门票</w:t>
      </w:r>
      <w:r>
        <w:t>系统的基础数据、权限体系管理和</w:t>
      </w:r>
      <w:r>
        <w:rPr>
          <w:rFonts w:hint="eastAsia"/>
        </w:rPr>
        <w:t>门票</w:t>
      </w:r>
      <w:r>
        <w:t>生命周期过程的管理提供业务服务。服务层包括系统管理、业务管理、售、取、检、退票服务；</w:t>
      </w:r>
    </w:p>
    <w:p>
      <w:pPr>
        <w:pStyle w:val="40"/>
        <w:numPr>
          <w:ilvl w:val="0"/>
          <w:numId w:val="5"/>
        </w:numPr>
        <w:ind w:left="840" w:hanging="420"/>
      </w:pPr>
      <w:r>
        <w:rPr>
          <w:rFonts w:hint="eastAsia"/>
        </w:rPr>
        <w:t>应用</w:t>
      </w:r>
      <w:r>
        <w:t>层：指门票系统与使用者进行互动的操作/页面，主要包括有购票/售票操作的</w:t>
      </w:r>
      <w:r>
        <w:rPr>
          <w:rFonts w:hint="eastAsia"/>
        </w:rPr>
        <w:t>P</w:t>
      </w:r>
      <w:r>
        <w:t>C</w:t>
      </w:r>
      <w:r>
        <w:rPr>
          <w:rFonts w:hint="eastAsia"/>
        </w:rPr>
        <w:t>端</w:t>
      </w:r>
      <w:r>
        <w:t>、自助机、移动端，以及主要用于检票的闸机</w:t>
      </w:r>
      <w:r>
        <w:rPr>
          <w:rFonts w:hint="eastAsia"/>
          <w:lang w:eastAsia="zh-CN"/>
        </w:rPr>
        <w:t>；</w:t>
      </w:r>
    </w:p>
    <w:p>
      <w:pPr>
        <w:pStyle w:val="40"/>
        <w:numPr>
          <w:ilvl w:val="0"/>
          <w:numId w:val="5"/>
        </w:numPr>
        <w:tabs>
          <w:tab w:val="clear" w:pos="839"/>
        </w:tabs>
        <w:ind w:left="840" w:hanging="420"/>
      </w:pPr>
      <w:r>
        <w:rPr>
          <w:rFonts w:hint="eastAsia"/>
        </w:rPr>
        <w:t>接口规范</w:t>
      </w:r>
      <w:r>
        <w:t>：接口分为内部接口与外部接口。</w:t>
      </w:r>
      <w:r>
        <w:rPr>
          <w:rFonts w:hint="eastAsia"/>
        </w:rPr>
        <w:t>内部接口主要为门票系统多个终端和物联设备提供数据交换的通道，使软件系统与多终端以及与物联设备间实现数据互通和业务的交换；</w:t>
      </w:r>
      <w:r>
        <w:t>外部接口通过企业总线与外部系统进行信息传递交互，外部系统包括与</w:t>
      </w:r>
      <w:r>
        <w:rPr>
          <w:rFonts w:hint="eastAsia"/>
        </w:rPr>
        <w:t>门票</w:t>
      </w:r>
      <w:r>
        <w:t>系统集成的电子发票系统，数据上报系统等</w:t>
      </w:r>
      <w:r>
        <w:rPr>
          <w:rFonts w:hint="eastAsia"/>
        </w:rPr>
        <w:t>；</w:t>
      </w:r>
    </w:p>
    <w:p>
      <w:pPr>
        <w:pStyle w:val="40"/>
        <w:numPr>
          <w:ilvl w:val="0"/>
          <w:numId w:val="5"/>
        </w:numPr>
        <w:ind w:left="840" w:hanging="420"/>
      </w:pPr>
      <w:r>
        <w:rPr>
          <w:rFonts w:hint="eastAsia"/>
        </w:rPr>
        <w:t>安全管控：包括支撑系统安全、门票系统安全和认证安全；</w:t>
      </w:r>
    </w:p>
    <w:p>
      <w:pPr>
        <w:pStyle w:val="40"/>
        <w:numPr>
          <w:ilvl w:val="0"/>
          <w:numId w:val="5"/>
        </w:numPr>
        <w:ind w:left="840" w:hanging="420"/>
      </w:pPr>
      <w:r>
        <w:rPr>
          <w:rFonts w:hint="eastAsia"/>
        </w:rPr>
        <w:t>基础设施：</w:t>
      </w:r>
      <w:r>
        <w:t>为门票系统提供基础设施服务，包括</w:t>
      </w:r>
      <w:r>
        <w:rPr>
          <w:rFonts w:hint="eastAsia"/>
        </w:rPr>
        <w:t>电力设施</w:t>
      </w:r>
      <w:r>
        <w:t>、服务器设备、</w:t>
      </w:r>
      <w:r>
        <w:rPr>
          <w:rFonts w:hint="eastAsia"/>
        </w:rPr>
        <w:t>门禁闸机等</w:t>
      </w:r>
      <w:r>
        <w:rPr>
          <w:rFonts w:hint="eastAsia"/>
          <w:lang w:eastAsia="zh-CN"/>
        </w:rPr>
        <w:t>。</w:t>
      </w:r>
    </w:p>
    <w:p>
      <w:pPr>
        <w:jc w:val="center"/>
      </w:pPr>
    </w:p>
    <w:p>
      <w:pPr>
        <w:jc w:val="center"/>
      </w:pPr>
      <w:r>
        <w:object>
          <v:shape id="_x0000_i1025" o:spt="75" type="#_x0000_t75" style="height:327.5pt;width:413.8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pPr>
        <w:tabs>
          <w:tab w:val="left" w:pos="839"/>
          <w:tab w:val="left" w:pos="840"/>
        </w:tabs>
        <w:spacing w:line="360" w:lineRule="auto"/>
        <w:jc w:val="center"/>
        <w:rPr>
          <w:rFonts w:ascii="黑体" w:hAnsi="黑体" w:eastAsia="黑体"/>
        </w:rPr>
      </w:pPr>
      <w:r>
        <w:rPr>
          <w:rFonts w:hint="eastAsia" w:ascii="黑体" w:hAnsi="黑体" w:eastAsia="黑体"/>
        </w:rPr>
        <w:t>图1  门票系统架构图</w:t>
      </w:r>
    </w:p>
    <w:p>
      <w:pPr>
        <w:pStyle w:val="45"/>
        <w:numPr>
          <w:ilvl w:val="2"/>
          <w:numId w:val="4"/>
        </w:numPr>
        <w:spacing w:before="156" w:after="156"/>
      </w:pPr>
      <w:r>
        <w:t>门票系统功能图</w:t>
      </w:r>
    </w:p>
    <w:p>
      <w:pPr>
        <w:pStyle w:val="40"/>
        <w:numPr>
          <w:ilvl w:val="0"/>
          <w:numId w:val="0"/>
        </w:numPr>
      </w:pPr>
      <w:r>
        <w:rPr>
          <w:rFonts w:hint="eastAsia"/>
        </w:rPr>
        <w:t xml:space="preserve">    门票系统功能图见图</w:t>
      </w:r>
      <w:r>
        <w:rPr>
          <w:rFonts w:hint="eastAsia" w:ascii="Times New Roman" w:hAnsi="Times New Roman" w:eastAsia="宋体" w:cs="Times New Roman"/>
          <w:kern w:val="2"/>
          <w:sz w:val="21"/>
          <w:szCs w:val="24"/>
          <w:lang w:val="en-US" w:eastAsia="zh-CN" w:bidi="ar-SA"/>
        </w:rPr>
        <w:t>2</w:t>
      </w:r>
      <w:r>
        <w:rPr>
          <w:rFonts w:hint="eastAsia"/>
        </w:rPr>
        <w:t>，要求如下：</w:t>
      </w:r>
    </w:p>
    <w:p>
      <w:pPr>
        <w:pStyle w:val="40"/>
        <w:numPr>
          <w:ilvl w:val="0"/>
          <w:numId w:val="6"/>
        </w:numPr>
      </w:pPr>
      <w:r>
        <w:t>服务层：应包含</w:t>
      </w:r>
      <w:r>
        <w:rPr>
          <w:rFonts w:hint="eastAsia"/>
        </w:rPr>
        <w:t>系统</w:t>
      </w:r>
      <w:r>
        <w:t>管理</w:t>
      </w:r>
      <w:r>
        <w:rPr>
          <w:rFonts w:hint="eastAsia"/>
        </w:rPr>
        <w:t>、业务管理、售取票业务、门票检票业务</w:t>
      </w:r>
      <w:r>
        <w:t>等</w:t>
      </w:r>
      <w:r>
        <w:rPr>
          <w:rFonts w:hint="eastAsia"/>
        </w:rPr>
        <w:t>功能；</w:t>
      </w:r>
    </w:p>
    <w:p>
      <w:pPr>
        <w:pStyle w:val="40"/>
        <w:numPr>
          <w:ilvl w:val="0"/>
          <w:numId w:val="6"/>
        </w:numPr>
        <w:ind w:hanging="420"/>
      </w:pPr>
      <w:r>
        <w:t>交互层：应包含</w:t>
      </w:r>
      <w:r>
        <w:rPr>
          <w:rFonts w:hint="eastAsia"/>
        </w:rPr>
        <w:t>移动端、P</w:t>
      </w:r>
      <w:r>
        <w:t>C</w:t>
      </w:r>
      <w:r>
        <w:rPr>
          <w:rFonts w:hint="eastAsia"/>
        </w:rPr>
        <w:t>端（含P</w:t>
      </w:r>
      <w:r>
        <w:t>C</w:t>
      </w:r>
      <w:r>
        <w:rPr>
          <w:rFonts w:hint="eastAsia"/>
        </w:rPr>
        <w:t>网站、人工售票端、管理端）、自助售取票机、闸机等</w:t>
      </w:r>
      <w:r>
        <w:t>内容</w:t>
      </w:r>
      <w:r>
        <w:rPr>
          <w:rFonts w:hint="eastAsia"/>
        </w:rPr>
        <w:t>。</w:t>
      </w:r>
    </w:p>
    <w:p>
      <w:pPr>
        <w:pStyle w:val="30"/>
        <w:tabs>
          <w:tab w:val="left" w:pos="840"/>
          <w:tab w:val="clear" w:pos="4201"/>
          <w:tab w:val="clear" w:pos="9298"/>
        </w:tabs>
        <w:spacing w:before="156" w:after="156"/>
        <w:ind w:firstLine="0" w:firstLineChars="0"/>
        <w:jc w:val="center"/>
        <w:rPr>
          <w:rFonts w:ascii="黑体" w:hAnsi="黑体" w:eastAsia="黑体"/>
        </w:rPr>
      </w:pPr>
      <w:r>
        <w:object>
          <v:shape id="_x0000_i1026" o:spt="75" type="#_x0000_t75" style="height:196.25pt;width:435.85pt;" o:ole="t" filled="f" o:preferrelative="t" stroked="f" coordsize="21600,21600">
            <v:path/>
            <v:fill on="f" focussize="0,0"/>
            <v:stroke on="f" joinstyle="miter"/>
            <v:imagedata r:id="rId13" o:title=""/>
            <o:lock v:ext="edit" aspectratio="t"/>
            <w10:wrap type="none"/>
            <w10:anchorlock/>
          </v:shape>
          <o:OLEObject Type="Embed" ProgID="Visio.Drawing.15" ShapeID="_x0000_i1026" DrawAspect="Content" ObjectID="_1468075726" r:id="rId12">
            <o:LockedField>false</o:LockedField>
          </o:OLEObject>
        </w:object>
      </w:r>
      <w:r>
        <w:rPr>
          <w:rFonts w:hint="eastAsia" w:ascii="黑体" w:hAnsi="黑体" w:eastAsia="黑体"/>
        </w:rPr>
        <w:t>图</w:t>
      </w:r>
      <w:r>
        <w:rPr>
          <w:rFonts w:ascii="黑体" w:hAnsi="黑体" w:eastAsia="黑体"/>
        </w:rPr>
        <w:t>2</w:t>
      </w:r>
      <w:r>
        <w:rPr>
          <w:rFonts w:hint="eastAsia" w:ascii="黑体" w:hAnsi="黑体" w:eastAsia="黑体"/>
        </w:rPr>
        <w:t xml:space="preserve"> 门票系统功能图</w:t>
      </w:r>
    </w:p>
    <w:p>
      <w:pPr>
        <w:pStyle w:val="45"/>
        <w:numPr>
          <w:ilvl w:val="2"/>
          <w:numId w:val="4"/>
        </w:numPr>
        <w:spacing w:before="156" w:after="156"/>
      </w:pPr>
      <w:r>
        <w:rPr>
          <w:rFonts w:hint="eastAsia"/>
        </w:rPr>
        <w:t>门票系统</w:t>
      </w:r>
      <w:r>
        <w:t>网络图</w:t>
      </w:r>
    </w:p>
    <w:p>
      <w:pPr>
        <w:ind w:firstLine="420" w:firstLineChars="200"/>
        <w:rPr>
          <w:rFonts w:hint="eastAsia"/>
        </w:rPr>
      </w:pPr>
      <w:r>
        <w:rPr>
          <w:rFonts w:hint="eastAsia"/>
        </w:rPr>
        <w:t>系统基础网络拓扑图如图3所示。景区在条件允许的情况下门票系统可采用同时部署在景区本地和云端方案，构成本地门票中心+云上门票中心的混合云双活解决方案。将本地与线上门票业务进行负载均衡和灾备，保障业务的高效性、可持续性和安全性。</w:t>
      </w:r>
    </w:p>
    <w:p>
      <w:pPr>
        <w:pStyle w:val="40"/>
        <w:numPr>
          <w:ilvl w:val="0"/>
          <w:numId w:val="7"/>
        </w:numPr>
      </w:pPr>
      <w:r>
        <w:rPr>
          <w:rFonts w:hint="eastAsia"/>
        </w:rPr>
        <w:t>在正常状态</w:t>
      </w:r>
      <w:r>
        <w:rPr>
          <w:rFonts w:hint="eastAsia"/>
          <w:lang w:val="en-US" w:eastAsia="zh-CN"/>
        </w:rPr>
        <w:t>下，</w:t>
      </w:r>
      <w:r>
        <w:rPr>
          <w:rFonts w:hint="eastAsia"/>
        </w:rPr>
        <w:t>本地门票中心和云上门票中心</w:t>
      </w:r>
      <w:r>
        <w:rPr>
          <w:rFonts w:hint="eastAsia"/>
          <w:lang w:val="en-US" w:eastAsia="zh-CN"/>
        </w:rPr>
        <w:t>采取</w:t>
      </w:r>
      <w:r>
        <w:rPr>
          <w:rFonts w:hint="eastAsia"/>
        </w:rPr>
        <w:t>负载分担，同时提供门票服务；景区断电、断网情况下</w:t>
      </w:r>
      <w:r>
        <w:rPr>
          <w:rFonts w:hint="eastAsia"/>
          <w:lang w:eastAsia="zh-CN"/>
        </w:rPr>
        <w:t>，</w:t>
      </w:r>
      <w:r>
        <w:rPr>
          <w:rFonts w:hint="eastAsia"/>
        </w:rPr>
        <w:t>景区还可依赖云平台继续售票、检票；云端和本地保证了数据的异地备份；</w:t>
      </w:r>
    </w:p>
    <w:p>
      <w:pPr>
        <w:pStyle w:val="40"/>
        <w:numPr>
          <w:ilvl w:val="0"/>
          <w:numId w:val="7"/>
        </w:numPr>
      </w:pPr>
      <w:r>
        <w:rPr>
          <w:rFonts w:hint="eastAsia"/>
        </w:rPr>
        <w:t>接入侧：使用智能DNS分发流量至混合云的双中心，</w:t>
      </w:r>
      <w:r>
        <w:rPr>
          <w:rFonts w:ascii="Helvetica Neue" w:hAnsi="Helvetica Neue"/>
          <w:color w:val="333333"/>
          <w:szCs w:val="21"/>
          <w:shd w:val="clear" w:color="auto" w:fill="FFFFFF"/>
        </w:rPr>
        <w:t>将应用做成无状态模式，在两个应用中心做对等的部署</w:t>
      </w:r>
      <w:r>
        <w:rPr>
          <w:rFonts w:hint="eastAsia" w:ascii="Helvetica Neue" w:hAnsi="Helvetica Neue"/>
          <w:color w:val="333333"/>
          <w:szCs w:val="21"/>
          <w:shd w:val="clear" w:color="auto" w:fill="FFFFFF"/>
        </w:rPr>
        <w:t>；</w:t>
      </w:r>
    </w:p>
    <w:p>
      <w:pPr>
        <w:pStyle w:val="40"/>
        <w:numPr>
          <w:ilvl w:val="0"/>
          <w:numId w:val="7"/>
        </w:numPr>
      </w:pPr>
      <w:r>
        <w:rPr>
          <w:rFonts w:hint="eastAsia"/>
        </w:rPr>
        <w:t>应用侧：门票系统同时、对等部署在用户本地和远端两个中心，每个中心的应用集群同时挂在对应负载均衡下，由对应负载均衡将流量分发至应用集群的某个节点；</w:t>
      </w:r>
    </w:p>
    <w:p>
      <w:pPr>
        <w:pStyle w:val="40"/>
        <w:numPr>
          <w:ilvl w:val="0"/>
          <w:numId w:val="7"/>
        </w:numPr>
      </w:pPr>
      <w:r>
        <w:rPr>
          <w:rFonts w:hint="eastAsia"/>
        </w:rPr>
        <w:t>缓存侧：通过缓存管理，做双向读写同步，检</w:t>
      </w:r>
      <w:r>
        <w:rPr>
          <w:rFonts w:ascii="Helvetica Neue" w:hAnsi="Helvetica Neue"/>
          <w:color w:val="333333"/>
          <w:szCs w:val="21"/>
          <w:shd w:val="clear" w:color="auto" w:fill="FFFFFF"/>
        </w:rPr>
        <w:t>测并解决数据冲突，保障数据最终一致性</w:t>
      </w:r>
      <w:r>
        <w:rPr>
          <w:rFonts w:hint="eastAsia" w:ascii="Helvetica Neue" w:hAnsi="Helvetica Neue"/>
          <w:color w:val="333333"/>
          <w:szCs w:val="21"/>
          <w:shd w:val="clear" w:color="auto" w:fill="FFFFFF"/>
        </w:rPr>
        <w:t>；</w:t>
      </w:r>
    </w:p>
    <w:p>
      <w:pPr>
        <w:pStyle w:val="40"/>
        <w:numPr>
          <w:ilvl w:val="0"/>
          <w:numId w:val="7"/>
        </w:numPr>
      </w:pPr>
      <w:r>
        <w:rPr>
          <w:rFonts w:hint="eastAsia"/>
        </w:rPr>
        <w:t>数据侧：</w:t>
      </w:r>
      <w:r>
        <w:rPr>
          <w:rFonts w:ascii="Helvetica Neue" w:hAnsi="Helvetica Neue"/>
          <w:color w:val="333333"/>
          <w:szCs w:val="21"/>
          <w:shd w:val="clear" w:color="auto" w:fill="FFFFFF"/>
        </w:rPr>
        <w:t>应用数据分别存储在云上、云下的数据库中，通过</w:t>
      </w:r>
      <w:r>
        <w:rPr>
          <w:rFonts w:hint="eastAsia" w:ascii="Helvetica Neue" w:hAnsi="Helvetica Neue"/>
          <w:color w:val="333333"/>
          <w:szCs w:val="21"/>
          <w:shd w:val="clear" w:color="auto" w:fill="FFFFFF"/>
        </w:rPr>
        <w:t>数据同步服务</w:t>
      </w:r>
      <w:r>
        <w:rPr>
          <w:rFonts w:ascii="Helvetica Neue" w:hAnsi="Helvetica Neue"/>
          <w:color w:val="333333"/>
          <w:szCs w:val="21"/>
          <w:shd w:val="clear" w:color="auto" w:fill="FFFFFF"/>
        </w:rPr>
        <w:t>做云上、云下数据库间的数据同步，保障云上、云下数据库数据一致性。</w:t>
      </w:r>
    </w:p>
    <w:p>
      <w:r>
        <w:object>
          <v:shape id="_x0000_i1027" o:spt="75" alt="" type="#_x0000_t75" style="height:371.1pt;width:417.05pt;" o:ole="t" filled="f" o:preferrelative="t" stroked="f" coordsize="21600,21600">
            <v:path/>
            <v:fill on="f" focussize="0,0"/>
            <v:stroke on="f"/>
            <v:imagedata r:id="rId15" o:title=""/>
            <o:lock v:ext="edit" aspectratio="t"/>
            <w10:wrap type="none"/>
            <w10:anchorlock/>
          </v:shape>
          <o:OLEObject Type="Embed" ProgID="Visio.Drawing.15" ShapeID="_x0000_i1027" DrawAspect="Content" ObjectID="_1468075727" r:id="rId14">
            <o:LockedField>false</o:LockedField>
          </o:OLEObject>
        </w:object>
      </w:r>
    </w:p>
    <w:p>
      <w:pPr>
        <w:tabs>
          <w:tab w:val="left" w:pos="839"/>
          <w:tab w:val="left" w:pos="840"/>
        </w:tabs>
        <w:spacing w:line="360" w:lineRule="auto"/>
        <w:jc w:val="center"/>
        <w:rPr>
          <w:rFonts w:ascii="黑体" w:hAnsi="黑体" w:eastAsia="黑体"/>
        </w:rPr>
      </w:pPr>
      <w:r>
        <w:rPr>
          <w:rFonts w:hint="eastAsia" w:ascii="黑体" w:hAnsi="黑体" w:eastAsia="黑体"/>
        </w:rPr>
        <w:t>图</w:t>
      </w:r>
      <w:r>
        <w:rPr>
          <w:rFonts w:ascii="黑体" w:hAnsi="黑体" w:eastAsia="黑体"/>
        </w:rPr>
        <w:t xml:space="preserve">3 </w:t>
      </w:r>
      <w:r>
        <w:rPr>
          <w:rFonts w:hint="eastAsia" w:ascii="黑体" w:hAnsi="黑体" w:eastAsia="黑体"/>
        </w:rPr>
        <w:t>系统基础网络拓扑图</w:t>
      </w:r>
    </w:p>
    <w:p>
      <w:pPr>
        <w:pStyle w:val="33"/>
        <w:numPr>
          <w:ilvl w:val="0"/>
          <w:numId w:val="4"/>
        </w:numPr>
        <w:tabs>
          <w:tab w:val="left" w:pos="840"/>
        </w:tabs>
      </w:pPr>
      <w:bookmarkStart w:id="189" w:name="_Toc52373532"/>
      <w:bookmarkEnd w:id="189"/>
      <w:bookmarkStart w:id="190" w:name="_Toc52373753"/>
      <w:bookmarkEnd w:id="190"/>
      <w:bookmarkStart w:id="191" w:name="_Toc57293133"/>
      <w:bookmarkEnd w:id="191"/>
      <w:bookmarkStart w:id="192" w:name="_Toc57293269"/>
      <w:bookmarkEnd w:id="192"/>
      <w:bookmarkStart w:id="193" w:name="_Toc52372880"/>
      <w:bookmarkEnd w:id="193"/>
      <w:bookmarkStart w:id="194" w:name="_Toc52372883"/>
      <w:bookmarkEnd w:id="194"/>
      <w:bookmarkStart w:id="195" w:name="_Toc52373756"/>
      <w:bookmarkEnd w:id="195"/>
      <w:bookmarkStart w:id="196" w:name="_Toc52373919"/>
      <w:bookmarkEnd w:id="196"/>
      <w:bookmarkStart w:id="197" w:name="_Toc52373533"/>
      <w:bookmarkEnd w:id="197"/>
      <w:bookmarkStart w:id="198" w:name="_Toc52373754"/>
      <w:bookmarkEnd w:id="198"/>
      <w:bookmarkStart w:id="199" w:name="_Toc52373921"/>
      <w:bookmarkEnd w:id="199"/>
      <w:bookmarkStart w:id="200" w:name="_Toc52373922"/>
      <w:bookmarkEnd w:id="200"/>
      <w:bookmarkStart w:id="201" w:name="_Toc52372881"/>
      <w:bookmarkEnd w:id="201"/>
      <w:bookmarkStart w:id="202" w:name="_Toc52373920"/>
      <w:bookmarkEnd w:id="202"/>
      <w:bookmarkStart w:id="203" w:name="_Toc52373534"/>
      <w:bookmarkEnd w:id="203"/>
      <w:bookmarkStart w:id="204" w:name="_Toc52373755"/>
      <w:bookmarkEnd w:id="204"/>
      <w:bookmarkStart w:id="205" w:name="_Toc52372882"/>
      <w:bookmarkEnd w:id="205"/>
      <w:bookmarkStart w:id="206" w:name="_Toc52373535"/>
      <w:bookmarkEnd w:id="206"/>
      <w:bookmarkStart w:id="207" w:name="_Toc531716389"/>
      <w:bookmarkStart w:id="208" w:name="_Toc530383694"/>
      <w:bookmarkStart w:id="209" w:name="_Toc52373536"/>
      <w:bookmarkStart w:id="210" w:name="_Toc531724638"/>
      <w:bookmarkStart w:id="211" w:name="_Toc524708291"/>
      <w:bookmarkStart w:id="212" w:name="_Toc57293273"/>
      <w:bookmarkStart w:id="213" w:name="_Toc531263135"/>
      <w:bookmarkStart w:id="214" w:name="_Toc531251752"/>
      <w:bookmarkStart w:id="215" w:name="_Toc531251538"/>
      <w:bookmarkStart w:id="216" w:name="_Toc524963271"/>
      <w:bookmarkStart w:id="217" w:name="_Toc527563378"/>
      <w:bookmarkStart w:id="218" w:name="_Toc530411550"/>
      <w:bookmarkStart w:id="219" w:name="_Toc530412434"/>
      <w:bookmarkStart w:id="220" w:name="_Toc530477293"/>
      <w:bookmarkStart w:id="221" w:name="_Toc524963162"/>
      <w:bookmarkStart w:id="222" w:name="_Toc527563910"/>
      <w:bookmarkStart w:id="223" w:name="_Toc530477419"/>
      <w:r>
        <w:rPr>
          <w:rFonts w:hint="eastAsia"/>
        </w:rPr>
        <w:t>系统功能</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pPr>
        <w:pStyle w:val="46"/>
        <w:numPr>
          <w:ilvl w:val="1"/>
          <w:numId w:val="4"/>
        </w:numPr>
        <w:spacing w:before="156" w:after="156"/>
      </w:pPr>
      <w:bookmarkStart w:id="224" w:name="_Toc52373925"/>
      <w:r>
        <w:rPr>
          <w:rFonts w:hint="eastAsia"/>
        </w:rPr>
        <w:t>系统管理子系统</w:t>
      </w:r>
      <w:bookmarkEnd w:id="224"/>
    </w:p>
    <w:p>
      <w:pPr>
        <w:pStyle w:val="45"/>
        <w:numPr>
          <w:ilvl w:val="2"/>
          <w:numId w:val="4"/>
        </w:numPr>
        <w:spacing w:before="156" w:after="156"/>
      </w:pPr>
      <w:r>
        <w:rPr>
          <w:rFonts w:hint="eastAsia"/>
        </w:rPr>
        <w:t>角色权限</w:t>
      </w:r>
    </w:p>
    <w:p>
      <w:pPr>
        <w:pStyle w:val="30"/>
      </w:pPr>
      <w:r>
        <w:rPr>
          <w:rFonts w:ascii="Arial" w:hAnsi="Arial" w:cs="Arial"/>
          <w:szCs w:val="21"/>
          <w:shd w:val="clear" w:color="auto" w:fill="FFFFFF"/>
        </w:rPr>
        <w:t>为便于对用户及权限进行管理，将一组具有相同权限的用户</w:t>
      </w:r>
      <w:r>
        <w:rPr>
          <w:rFonts w:hint="eastAsia" w:ascii="Arial" w:hAnsi="Arial" w:cs="Arial"/>
          <w:szCs w:val="21"/>
          <w:shd w:val="clear" w:color="auto" w:fill="FFFFFF"/>
        </w:rPr>
        <w:t>进行统一</w:t>
      </w:r>
      <w:r>
        <w:rPr>
          <w:rFonts w:ascii="Arial" w:hAnsi="Arial" w:cs="Arial"/>
          <w:szCs w:val="21"/>
          <w:shd w:val="clear" w:color="auto" w:fill="FFFFFF"/>
        </w:rPr>
        <w:t>组织</w:t>
      </w:r>
      <w:r>
        <w:rPr>
          <w:rFonts w:hint="eastAsia" w:ascii="Arial" w:hAnsi="Arial" w:cs="Arial"/>
          <w:szCs w:val="21"/>
          <w:shd w:val="clear" w:color="auto" w:fill="FFFFFF"/>
        </w:rPr>
        <w:t>与管理，例如售票员、班组长、票房经理、系统管理员等</w:t>
      </w:r>
      <w:r>
        <w:rPr>
          <w:rFonts w:hint="eastAsia"/>
        </w:rPr>
        <w:t>。</w:t>
      </w:r>
    </w:p>
    <w:p>
      <w:pPr>
        <w:pStyle w:val="45"/>
        <w:numPr>
          <w:ilvl w:val="2"/>
          <w:numId w:val="4"/>
        </w:numPr>
        <w:spacing w:before="156" w:after="156"/>
      </w:pPr>
      <w:r>
        <w:rPr>
          <w:rFonts w:hint="eastAsia"/>
        </w:rPr>
        <w:t>权限管理</w:t>
      </w:r>
    </w:p>
    <w:p>
      <w:pPr>
        <w:pStyle w:val="30"/>
      </w:pPr>
      <w:r>
        <w:t>应</w:t>
      </w:r>
      <w:r>
        <w:rPr>
          <w:rFonts w:hint="eastAsia"/>
        </w:rPr>
        <w:t>根据</w:t>
      </w:r>
      <w:r>
        <w:t>风景名胜区门票系</w:t>
      </w:r>
      <w:r>
        <w:rPr>
          <w:rFonts w:hint="eastAsia"/>
        </w:rPr>
        <w:t>统使用权限</w:t>
      </w:r>
      <w:r>
        <w:t>，</w:t>
      </w:r>
      <w:r>
        <w:rPr>
          <w:rFonts w:hint="eastAsia"/>
        </w:rPr>
        <w:t>对</w:t>
      </w:r>
      <w:r>
        <w:t>系统</w:t>
      </w:r>
      <w:r>
        <w:rPr>
          <w:rFonts w:hint="eastAsia"/>
        </w:rPr>
        <w:t>操作人员进行</w:t>
      </w:r>
      <w:r>
        <w:t>账号分配、权限管理</w:t>
      </w:r>
      <w:r>
        <w:rPr>
          <w:rFonts w:hint="eastAsia"/>
        </w:rPr>
        <w:t>，</w:t>
      </w:r>
      <w:r>
        <w:rPr>
          <w:rFonts w:hint="eastAsia" w:ascii="Arial" w:hAnsi="Arial" w:cs="Arial"/>
          <w:szCs w:val="21"/>
          <w:shd w:val="clear" w:color="auto" w:fill="FFFFFF"/>
        </w:rPr>
        <w:t>可设置后台读写权限、报表数据权限、窗口菜单权限、窗口售票票型权限、授权审核权限等。</w:t>
      </w:r>
      <w:r>
        <w:t xml:space="preserve"> </w:t>
      </w:r>
    </w:p>
    <w:p>
      <w:pPr>
        <w:pStyle w:val="45"/>
        <w:numPr>
          <w:ilvl w:val="2"/>
          <w:numId w:val="4"/>
        </w:numPr>
        <w:spacing w:before="156" w:after="156"/>
      </w:pPr>
      <w:r>
        <w:rPr>
          <w:rFonts w:hint="eastAsia"/>
        </w:rPr>
        <w:t>设备管理</w:t>
      </w:r>
    </w:p>
    <w:p>
      <w:pPr>
        <w:pStyle w:val="30"/>
      </w:pPr>
      <w:r>
        <w:t>对风景名胜区门票系统中涉及</w:t>
      </w:r>
      <w:r>
        <w:rPr>
          <w:rFonts w:hint="eastAsia"/>
        </w:rPr>
        <w:t>的</w:t>
      </w:r>
      <w:r>
        <w:t>售、检票设备进行管理，如售票</w:t>
      </w:r>
      <w:r>
        <w:rPr>
          <w:rFonts w:hint="eastAsia"/>
        </w:rPr>
        <w:t>窗口</w:t>
      </w:r>
      <w:r>
        <w:t>的售票电脑</w:t>
      </w:r>
      <w:r>
        <w:rPr>
          <w:rFonts w:hint="eastAsia"/>
        </w:rPr>
        <w:t>、</w:t>
      </w:r>
      <w:r>
        <w:t>自助售票机，检票端的闸机、手持检票设备等，管理内容</w:t>
      </w:r>
      <w:r>
        <w:rPr>
          <w:rFonts w:hint="eastAsia"/>
        </w:rPr>
        <w:t>应</w:t>
      </w:r>
      <w:r>
        <w:t>包括相关硬件名称、IP地址、设备状态、设备故障代码管理等内容</w:t>
      </w:r>
      <w:r>
        <w:rPr>
          <w:rFonts w:hint="eastAsia"/>
        </w:rPr>
        <w:t>，便于运维监管</w:t>
      </w:r>
      <w:r>
        <w:rPr>
          <w:rFonts w:hint="eastAsia" w:hAnsi="宋体"/>
        </w:rPr>
        <w:t>。</w:t>
      </w:r>
    </w:p>
    <w:p>
      <w:pPr>
        <w:pStyle w:val="45"/>
        <w:numPr>
          <w:ilvl w:val="2"/>
          <w:numId w:val="4"/>
        </w:numPr>
        <w:spacing w:before="156" w:after="156"/>
      </w:pPr>
      <w:r>
        <w:rPr>
          <w:rFonts w:hint="eastAsia"/>
        </w:rPr>
        <w:t>系统日志</w:t>
      </w:r>
    </w:p>
    <w:p>
      <w:pPr>
        <w:pStyle w:val="30"/>
      </w:pPr>
      <w:r>
        <w:rPr>
          <w:rFonts w:hint="eastAsia"/>
        </w:rPr>
        <w:t>记录系统使用人员操作系统的记录，包含后台登录日志、后台操作日志、窗口登录日志、窗口操作日志。</w:t>
      </w:r>
    </w:p>
    <w:p>
      <w:pPr>
        <w:pStyle w:val="45"/>
        <w:numPr>
          <w:ilvl w:val="2"/>
          <w:numId w:val="4"/>
        </w:numPr>
        <w:spacing w:before="156" w:after="156"/>
      </w:pPr>
      <w:r>
        <w:rPr>
          <w:rFonts w:hint="eastAsia"/>
        </w:rPr>
        <w:t>接口管理与配置</w:t>
      </w:r>
    </w:p>
    <w:p>
      <w:pPr>
        <w:ind w:firstLine="420"/>
      </w:pPr>
      <w:r>
        <w:rPr>
          <w:rFonts w:hint="eastAsia"/>
        </w:rPr>
        <w:t>门票后台实时统计门票销售数据、检票数据，并形成标准接口，</w:t>
      </w:r>
      <w:r>
        <w:t>对三方平台需展示</w:t>
      </w:r>
      <w:r>
        <w:rPr>
          <w:rFonts w:hint="eastAsia"/>
        </w:rPr>
        <w:t>门票</w:t>
      </w:r>
      <w:r>
        <w:t>数据情况，可使用标准接口进行对接</w:t>
      </w:r>
      <w:r>
        <w:rPr>
          <w:rFonts w:hint="eastAsia"/>
        </w:rPr>
        <w:t>，</w:t>
      </w:r>
      <w:r>
        <w:t>并</w:t>
      </w:r>
      <w:r>
        <w:rPr>
          <w:rFonts w:hint="eastAsia"/>
        </w:rPr>
        <w:t>为第三方</w:t>
      </w:r>
      <w:r>
        <w:t>平台提供</w:t>
      </w:r>
      <w:r>
        <w:rPr>
          <w:rFonts w:hint="eastAsia"/>
        </w:rPr>
        <w:t>实时同步数据，确保上报数据和门票后台数据一致</w:t>
      </w:r>
      <w:r>
        <w:rPr>
          <w:rFonts w:hint="eastAsia" w:ascii="宋体" w:hAnsi="宋体"/>
        </w:rPr>
        <w:t>。</w:t>
      </w:r>
    </w:p>
    <w:p>
      <w:pPr>
        <w:pStyle w:val="46"/>
        <w:numPr>
          <w:ilvl w:val="1"/>
          <w:numId w:val="4"/>
        </w:numPr>
        <w:spacing w:before="156" w:after="156"/>
      </w:pPr>
      <w:bookmarkStart w:id="225" w:name="_Toc52373926"/>
      <w:r>
        <w:rPr>
          <w:rFonts w:hint="eastAsia"/>
        </w:rPr>
        <w:t>业务管理子系统</w:t>
      </w:r>
      <w:bookmarkEnd w:id="225"/>
    </w:p>
    <w:p>
      <w:pPr>
        <w:pStyle w:val="45"/>
        <w:numPr>
          <w:ilvl w:val="2"/>
          <w:numId w:val="4"/>
        </w:numPr>
        <w:spacing w:before="156" w:after="156"/>
      </w:pPr>
      <w:r>
        <w:rPr>
          <w:rFonts w:hint="eastAsia"/>
        </w:rPr>
        <w:t>配置管理</w:t>
      </w:r>
    </w:p>
    <w:p>
      <w:pPr>
        <w:ind w:firstLine="420" w:firstLineChars="200"/>
      </w:pPr>
      <w:r>
        <w:t>配置管理</w:t>
      </w:r>
      <w:r>
        <w:rPr>
          <w:rFonts w:hint="eastAsia"/>
        </w:rPr>
        <w:t>是</w:t>
      </w:r>
      <w:r>
        <w:t>满足不同景区</w:t>
      </w:r>
      <w:r>
        <w:rPr>
          <w:rFonts w:hint="eastAsia"/>
        </w:rPr>
        <w:t>个性化</w:t>
      </w:r>
      <w:r>
        <w:t>需求</w:t>
      </w:r>
      <w:r>
        <w:rPr>
          <w:rFonts w:hint="eastAsia"/>
        </w:rPr>
        <w:t>进行</w:t>
      </w:r>
      <w:r>
        <w:t>集中配置、快捷方便配置</w:t>
      </w:r>
      <w:r>
        <w:rPr>
          <w:rFonts w:hint="eastAsia"/>
        </w:rPr>
        <w:t>等</w:t>
      </w:r>
      <w:r>
        <w:t>系统配置。</w:t>
      </w:r>
      <w:r>
        <w:rPr>
          <w:rFonts w:hint="eastAsia"/>
        </w:rPr>
        <w:t>包含景区、景点</w:t>
      </w:r>
      <w:r>
        <w:t>信息</w:t>
      </w:r>
      <w:r>
        <w:rPr>
          <w:rFonts w:hint="eastAsia"/>
        </w:rPr>
        <w:t>、淡旺季、票面模版、应用介质等进行配置</w:t>
      </w:r>
      <w:r>
        <w:t>管理</w:t>
      </w:r>
      <w:r>
        <w:rPr>
          <w:rFonts w:hint="eastAsia"/>
        </w:rPr>
        <w:t>。</w:t>
      </w:r>
    </w:p>
    <w:p>
      <w:pPr>
        <w:pStyle w:val="45"/>
        <w:numPr>
          <w:ilvl w:val="2"/>
          <w:numId w:val="4"/>
        </w:numPr>
        <w:spacing w:before="156" w:after="156"/>
      </w:pPr>
      <w:r>
        <w:t>产品管理</w:t>
      </w:r>
    </w:p>
    <w:p>
      <w:pPr>
        <w:ind w:firstLine="420"/>
      </w:pPr>
      <w:r>
        <w:t>产品管理</w:t>
      </w:r>
      <w:r>
        <w:rPr>
          <w:rFonts w:hint="eastAsia"/>
        </w:rPr>
        <w:t>是</w:t>
      </w:r>
      <w:r>
        <w:t>对</w:t>
      </w:r>
      <w:r>
        <w:rPr>
          <w:rFonts w:hint="eastAsia"/>
        </w:rPr>
        <w:t>风景名胜区</w:t>
      </w:r>
      <w:r>
        <w:t>门票系统中</w:t>
      </w:r>
      <w:r>
        <w:rPr>
          <w:rFonts w:hint="eastAsia"/>
        </w:rPr>
        <w:t>的票型票种进行</w:t>
      </w:r>
      <w:r>
        <w:t>管理，</w:t>
      </w:r>
      <w:r>
        <w:rPr>
          <w:rFonts w:hint="eastAsia"/>
        </w:rPr>
        <w:t>可设置票型价格、销售渠道、销售客户类型、检票模式、分成模式，过期退票等票型基础业务规则。</w:t>
      </w:r>
    </w:p>
    <w:p>
      <w:pPr>
        <w:pStyle w:val="45"/>
        <w:numPr>
          <w:ilvl w:val="2"/>
          <w:numId w:val="4"/>
        </w:numPr>
        <w:spacing w:before="156" w:after="156"/>
      </w:pPr>
      <w:r>
        <w:rPr>
          <w:rFonts w:hint="eastAsia"/>
        </w:rPr>
        <w:t>票证管理</w:t>
      </w:r>
    </w:p>
    <w:p>
      <w:pPr>
        <w:pStyle w:val="52"/>
      </w:pPr>
      <w:r>
        <w:rPr>
          <w:rFonts w:hint="eastAsia"/>
        </w:rPr>
        <w:t>票证管理包括预约库存管理、票证库存管理和统一结算。</w:t>
      </w:r>
    </w:p>
    <w:p>
      <w:pPr>
        <w:pStyle w:val="52"/>
      </w:pPr>
      <w:r>
        <w:rPr>
          <w:rFonts w:hint="eastAsia"/>
        </w:rPr>
        <w:t>预约库存管理指风景名胜区在有效控制接待秩序的前提下，面向游客提供可预约接待量的库存管理。预约库存管理对门票系统做总量控制，系统应包含分时（门票）预约库存管理、预约时间方案设置等。</w:t>
      </w:r>
    </w:p>
    <w:p>
      <w:pPr>
        <w:ind w:firstLine="420" w:firstLineChars="200"/>
      </w:pPr>
      <w:r>
        <w:rPr>
          <w:rFonts w:hint="eastAsia"/>
        </w:rPr>
        <w:t>票证库存管理</w:t>
      </w:r>
      <w:r>
        <w:t>指对</w:t>
      </w:r>
      <w:r>
        <w:rPr>
          <w:rFonts w:hint="eastAsia"/>
        </w:rPr>
        <w:t>风景名胜区</w:t>
      </w:r>
      <w:r>
        <w:t>预制的票证库存进行管理，</w:t>
      </w:r>
      <w:r>
        <w:rPr>
          <w:rFonts w:hint="eastAsia"/>
        </w:rPr>
        <w:t>可分级设置票证仓库有效管理门票票证，建立风景名胜区票证出入库流程管理体系</w:t>
      </w:r>
      <w:r>
        <w:t>，</w:t>
      </w:r>
      <w:r>
        <w:rPr>
          <w:rFonts w:hint="eastAsia"/>
        </w:rPr>
        <w:t>且包含</w:t>
      </w:r>
      <w:r>
        <w:t>票</w:t>
      </w:r>
      <w:r>
        <w:rPr>
          <w:rFonts w:hint="eastAsia"/>
        </w:rPr>
        <w:t>证</w:t>
      </w:r>
      <w:r>
        <w:t>入库、出库、售票员领用、票</w:t>
      </w:r>
      <w:r>
        <w:rPr>
          <w:rFonts w:hint="eastAsia"/>
        </w:rPr>
        <w:t>证</w:t>
      </w:r>
      <w:r>
        <w:t>作废等操作</w:t>
      </w:r>
      <w:r>
        <w:rPr>
          <w:rFonts w:hint="eastAsia"/>
        </w:rPr>
        <w:t>，并具有独立的查询统计功能。</w:t>
      </w:r>
    </w:p>
    <w:p>
      <w:pPr>
        <w:ind w:firstLine="420" w:firstLineChars="200"/>
      </w:pPr>
      <w:r>
        <w:rPr>
          <w:rFonts w:hint="eastAsia"/>
        </w:rPr>
        <w:t>统一计算是指应保证所有风景名胜区门票销售渠道由景区门票系统票证库存统一管控，统一结算。</w:t>
      </w:r>
    </w:p>
    <w:p>
      <w:pPr>
        <w:pStyle w:val="45"/>
        <w:numPr>
          <w:ilvl w:val="2"/>
          <w:numId w:val="4"/>
        </w:numPr>
        <w:tabs>
          <w:tab w:val="left" w:pos="839"/>
          <w:tab w:val="left" w:pos="840"/>
        </w:tabs>
        <w:spacing w:before="156" w:after="156"/>
      </w:pPr>
      <w:r>
        <w:rPr>
          <w:rFonts w:hint="eastAsia"/>
        </w:rPr>
        <w:t>客户关系管理</w:t>
      </w:r>
    </w:p>
    <w:p>
      <w:pPr>
        <w:ind w:firstLine="420" w:firstLineChars="200"/>
      </w:pPr>
      <w:r>
        <w:rPr>
          <w:rFonts w:hint="eastAsia"/>
        </w:rPr>
        <w:t>客户关系管理指风景名胜区面向协议签约旅行社、企事业单位签订的协议价格进行相关管理，系统支持设置协议票组，每个分组可单独配置协议票及票价；设置团队客户，团队折扣，协议票，导游；支持批量导入客户，支持客户签单结算、支持部分结算。</w:t>
      </w:r>
    </w:p>
    <w:p>
      <w:pPr>
        <w:pStyle w:val="45"/>
        <w:numPr>
          <w:ilvl w:val="2"/>
          <w:numId w:val="4"/>
        </w:numPr>
        <w:tabs>
          <w:tab w:val="left" w:pos="839"/>
          <w:tab w:val="left" w:pos="840"/>
        </w:tabs>
        <w:spacing w:before="156" w:after="156"/>
      </w:pPr>
      <w:r>
        <w:rPr>
          <w:rFonts w:hint="eastAsia"/>
        </w:rPr>
        <w:t>基础报表</w:t>
      </w:r>
    </w:p>
    <w:p>
      <w:pPr>
        <w:pStyle w:val="30"/>
      </w:pPr>
      <w:r>
        <w:rPr>
          <w:rFonts w:hint="eastAsia"/>
        </w:rPr>
        <w:t>售票员销售统计</w:t>
      </w:r>
      <w:r>
        <w:rPr>
          <w:rFonts w:hint="eastAsia"/>
        </w:rPr>
        <w:tab/>
      </w:r>
      <w:r>
        <w:rPr>
          <w:rFonts w:hint="eastAsia"/>
        </w:rPr>
        <w:t>：根据游客类型来统计部分/全部售票员的各类门票销售情况。</w:t>
      </w:r>
    </w:p>
    <w:p>
      <w:pPr>
        <w:pStyle w:val="30"/>
      </w:pPr>
      <w:r>
        <w:rPr>
          <w:rFonts w:hint="eastAsia"/>
        </w:rPr>
        <w:t>售票员销售流水：统计景区线下全部售票员门票的交易流水数据。</w:t>
      </w:r>
    </w:p>
    <w:p>
      <w:pPr>
        <w:pStyle w:val="30"/>
      </w:pPr>
      <w:r>
        <w:rPr>
          <w:rFonts w:hint="eastAsia"/>
        </w:rPr>
        <w:t>支付方式统计</w:t>
      </w:r>
      <w:r>
        <w:rPr>
          <w:rFonts w:hint="eastAsia"/>
        </w:rPr>
        <w:tab/>
      </w:r>
      <w:r>
        <w:rPr>
          <w:rFonts w:hint="eastAsia"/>
        </w:rPr>
        <w:t>：根据售票景点来统计各个售票员一段时间内各支付方式收入的金额。</w:t>
      </w:r>
    </w:p>
    <w:p>
      <w:pPr>
        <w:pStyle w:val="30"/>
      </w:pPr>
      <w:r>
        <w:rPr>
          <w:rFonts w:hint="eastAsia"/>
        </w:rPr>
        <w:t>票型销售统计：统计各个票型的销售汇总情况。</w:t>
      </w:r>
    </w:p>
    <w:p>
      <w:pPr>
        <w:pStyle w:val="30"/>
      </w:pPr>
      <w:r>
        <w:rPr>
          <w:rFonts w:hint="eastAsia"/>
        </w:rPr>
        <w:t>检票明细：记录景区各个闸机通道的检票明细数据。</w:t>
      </w:r>
    </w:p>
    <w:p>
      <w:pPr>
        <w:pStyle w:val="30"/>
      </w:pPr>
      <w:r>
        <w:rPr>
          <w:rFonts w:hint="eastAsia"/>
        </w:rPr>
        <w:t>重打记录查询：记录客户端中门票重打明细。</w:t>
      </w:r>
    </w:p>
    <w:p>
      <w:pPr>
        <w:pStyle w:val="30"/>
      </w:pPr>
      <w:r>
        <w:rPr>
          <w:rFonts w:hint="eastAsia"/>
        </w:rPr>
        <w:t>电商订单明细查询：记录电商同步至线下的购票订单数据。</w:t>
      </w:r>
    </w:p>
    <w:p>
      <w:pPr>
        <w:pStyle w:val="30"/>
      </w:pPr>
      <w:r>
        <w:rPr>
          <w:rFonts w:hint="eastAsia"/>
        </w:rPr>
        <w:t>售票员库存表：</w:t>
      </w:r>
      <w:r>
        <w:rPr>
          <w:rFonts w:hint="eastAsia"/>
        </w:rPr>
        <w:tab/>
      </w:r>
      <w:r>
        <w:rPr>
          <w:rFonts w:hint="eastAsia"/>
        </w:rPr>
        <w:t>明细或数量库存模式下，显示景区各售票员手中各类票型的门票数量。</w:t>
      </w:r>
    </w:p>
    <w:p>
      <w:pPr>
        <w:pStyle w:val="30"/>
      </w:pPr>
      <w:r>
        <w:rPr>
          <w:rFonts w:hint="eastAsia"/>
        </w:rPr>
        <w:t>各售票员日报表</w:t>
      </w:r>
      <w:r>
        <w:rPr>
          <w:rFonts w:hint="eastAsia"/>
        </w:rPr>
        <w:tab/>
      </w:r>
      <w:r>
        <w:rPr>
          <w:rFonts w:hint="eastAsia"/>
        </w:rPr>
        <w:t>：统计各售票员当天各类型门票的销售收入情况，一般用于当日与客户端结算报表对账使用。</w:t>
      </w:r>
    </w:p>
    <w:p>
      <w:pPr>
        <w:pStyle w:val="30"/>
      </w:pPr>
      <w:r>
        <w:rPr>
          <w:rFonts w:hint="eastAsia"/>
        </w:rPr>
        <w:t>客源地报表：根据游客客源地来统计门票实际销售情况。</w:t>
      </w:r>
    </w:p>
    <w:p>
      <w:pPr>
        <w:pStyle w:val="45"/>
        <w:numPr>
          <w:ilvl w:val="2"/>
          <w:numId w:val="4"/>
        </w:numPr>
        <w:tabs>
          <w:tab w:val="left" w:pos="839"/>
          <w:tab w:val="left" w:pos="840"/>
        </w:tabs>
        <w:spacing w:before="156" w:after="156"/>
      </w:pPr>
      <w:r>
        <w:rPr>
          <w:rFonts w:hint="eastAsia"/>
        </w:rPr>
        <w:t>支付</w:t>
      </w:r>
    </w:p>
    <w:p>
      <w:pPr>
        <w:pStyle w:val="30"/>
      </w:pPr>
      <w:r>
        <w:rPr>
          <w:rFonts w:hint="eastAsia"/>
        </w:rPr>
        <w:t>支付指风景名胜区门票系统的收款支付方式，应支持现金、签单、电子支付等形式，系统应支持对售票员进行自定义的支付方式及优先级设置。</w:t>
      </w:r>
    </w:p>
    <w:p>
      <w:pPr>
        <w:pStyle w:val="45"/>
        <w:numPr>
          <w:ilvl w:val="2"/>
          <w:numId w:val="4"/>
        </w:numPr>
        <w:tabs>
          <w:tab w:val="left" w:pos="839"/>
          <w:tab w:val="left" w:pos="840"/>
        </w:tabs>
        <w:spacing w:before="156" w:after="156"/>
      </w:pPr>
      <w:r>
        <w:rPr>
          <w:rFonts w:hint="eastAsia"/>
        </w:rPr>
        <w:t>结算</w:t>
      </w:r>
    </w:p>
    <w:p>
      <w:pPr>
        <w:pStyle w:val="30"/>
      </w:pPr>
      <w:r>
        <w:rPr>
          <w:rFonts w:hint="eastAsia"/>
        </w:rPr>
        <w:t>结算指风景名胜区门票系统应具备景区内部、外部单位结算分账提供基础凭证的能力。宜支持通过企业总线与景区财务系统对接的能力，宜实现风景名胜区与OTA、银行结算对账和核对机制。</w:t>
      </w:r>
    </w:p>
    <w:p>
      <w:pPr>
        <w:pStyle w:val="45"/>
        <w:numPr>
          <w:ilvl w:val="2"/>
          <w:numId w:val="4"/>
        </w:numPr>
        <w:tabs>
          <w:tab w:val="left" w:pos="839"/>
          <w:tab w:val="left" w:pos="840"/>
        </w:tabs>
        <w:spacing w:before="156" w:after="156"/>
      </w:pPr>
      <w:r>
        <w:rPr>
          <w:rFonts w:hint="eastAsia"/>
        </w:rPr>
        <w:t>电子发票</w:t>
      </w:r>
    </w:p>
    <w:p>
      <w:pPr>
        <w:pStyle w:val="30"/>
      </w:pPr>
      <w:r>
        <w:rPr>
          <w:rFonts w:hint="eastAsia"/>
        </w:rPr>
        <w:t>电子发票指风景名胜区门票系统应支持开具电子发票的功能，面向散客、团队、O</w:t>
      </w:r>
      <w:r>
        <w:t>TA</w:t>
      </w:r>
      <w:r>
        <w:rPr>
          <w:rFonts w:hint="eastAsia"/>
        </w:rPr>
        <w:t>等渠道提供正规的电子发票。</w:t>
      </w:r>
    </w:p>
    <w:p>
      <w:pPr>
        <w:pStyle w:val="45"/>
        <w:numPr>
          <w:ilvl w:val="2"/>
          <w:numId w:val="4"/>
        </w:numPr>
        <w:tabs>
          <w:tab w:val="left" w:pos="839"/>
          <w:tab w:val="left" w:pos="840"/>
        </w:tabs>
        <w:spacing w:before="156" w:after="156"/>
      </w:pPr>
      <w:r>
        <w:rPr>
          <w:rFonts w:hint="eastAsia"/>
        </w:rPr>
        <w:t>消息中心</w:t>
      </w:r>
    </w:p>
    <w:p>
      <w:pPr>
        <w:pStyle w:val="30"/>
      </w:pPr>
      <w:r>
        <w:rPr>
          <w:rFonts w:hint="eastAsia"/>
        </w:rPr>
        <w:t>消息中心指风景名胜区门票系统应支持通过后台发布景区公告，后台、窗口均可见。</w:t>
      </w:r>
    </w:p>
    <w:p>
      <w:pPr>
        <w:pStyle w:val="46"/>
        <w:numPr>
          <w:ilvl w:val="1"/>
          <w:numId w:val="4"/>
        </w:numPr>
        <w:spacing w:before="156" w:after="156"/>
      </w:pPr>
      <w:bookmarkStart w:id="226" w:name="_Toc52373927"/>
      <w:r>
        <w:t>售票管理</w:t>
      </w:r>
      <w:bookmarkEnd w:id="226"/>
    </w:p>
    <w:p>
      <w:pPr>
        <w:pStyle w:val="45"/>
        <w:numPr>
          <w:ilvl w:val="2"/>
          <w:numId w:val="4"/>
        </w:numPr>
        <w:spacing w:before="156" w:after="156"/>
      </w:pPr>
      <w:r>
        <w:rPr>
          <w:rFonts w:hint="eastAsia"/>
        </w:rPr>
        <w:t>预约管理</w:t>
      </w:r>
    </w:p>
    <w:p>
      <w:pPr>
        <w:pStyle w:val="30"/>
      </w:pPr>
      <w:r>
        <w:rPr>
          <w:rFonts w:hint="eastAsia"/>
        </w:rPr>
        <w:t>在预约库存管理的基础上，风景名胜区经营单位应依据实际接待预案合理分配预约库存，并分级做好相关的接待准备，面向高峰期游客流量大的景区宜采用</w:t>
      </w:r>
      <w:r>
        <w:t>分时预约</w:t>
      </w:r>
      <w:r>
        <w:rPr>
          <w:rFonts w:hint="eastAsia"/>
        </w:rPr>
        <w:t>的模式。</w:t>
      </w:r>
    </w:p>
    <w:p>
      <w:pPr>
        <w:pStyle w:val="45"/>
        <w:numPr>
          <w:ilvl w:val="2"/>
          <w:numId w:val="4"/>
        </w:numPr>
        <w:spacing w:before="156" w:after="156"/>
      </w:pPr>
      <w:r>
        <w:t>线上</w:t>
      </w:r>
      <w:r>
        <w:rPr>
          <w:rFonts w:hint="eastAsia"/>
        </w:rPr>
        <w:t>售取票管理</w:t>
      </w:r>
    </w:p>
    <w:p>
      <w:pPr>
        <w:pStyle w:val="44"/>
        <w:numPr>
          <w:ilvl w:val="3"/>
          <w:numId w:val="4"/>
        </w:numPr>
        <w:spacing w:before="156" w:after="156"/>
      </w:pPr>
      <w:r>
        <w:rPr>
          <w:rFonts w:hint="eastAsia"/>
        </w:rPr>
        <w:t>互联网售票</w:t>
      </w:r>
    </w:p>
    <w:p>
      <w:pPr>
        <w:ind w:firstLine="420"/>
      </w:pPr>
      <w:r>
        <w:rPr>
          <w:rFonts w:hint="eastAsia"/>
        </w:rPr>
        <w:t>互联网售票指通过官网、微官网、扫码购、OTA、</w:t>
      </w:r>
      <w:r>
        <w:t>旅行社</w:t>
      </w:r>
      <w:r>
        <w:rPr>
          <w:rFonts w:hint="eastAsia"/>
        </w:rPr>
        <w:t>和其他分销渠道等向游客销售的门票。</w:t>
      </w:r>
    </w:p>
    <w:p>
      <w:pPr>
        <w:pStyle w:val="44"/>
        <w:numPr>
          <w:ilvl w:val="3"/>
          <w:numId w:val="4"/>
        </w:numPr>
        <w:spacing w:before="156" w:after="156"/>
      </w:pPr>
      <w:r>
        <w:rPr>
          <w:rFonts w:hint="eastAsia"/>
        </w:rPr>
        <w:t>互联网取票</w:t>
      </w:r>
    </w:p>
    <w:p>
      <w:pPr>
        <w:pStyle w:val="30"/>
      </w:pPr>
      <w:r>
        <w:rPr>
          <w:rFonts w:hint="eastAsia"/>
        </w:rPr>
        <w:t>互联网取票指游客通过线上预订景区门票，并依据唯一凭证至线下人工窗口进行取票。</w:t>
      </w:r>
    </w:p>
    <w:p>
      <w:pPr>
        <w:pStyle w:val="44"/>
        <w:numPr>
          <w:ilvl w:val="3"/>
          <w:numId w:val="4"/>
        </w:numPr>
        <w:spacing w:before="156" w:after="156"/>
      </w:pPr>
      <w:r>
        <w:rPr>
          <w:rFonts w:hint="eastAsia"/>
        </w:rPr>
        <w:t>自助售票</w:t>
      </w:r>
    </w:p>
    <w:p>
      <w:pPr>
        <w:pStyle w:val="30"/>
      </w:pPr>
      <w:r>
        <w:rPr>
          <w:rFonts w:hint="eastAsia"/>
        </w:rPr>
        <w:t>自助售票指游客从自助售取票机购买门票。</w:t>
      </w:r>
    </w:p>
    <w:p>
      <w:pPr>
        <w:pStyle w:val="44"/>
        <w:numPr>
          <w:ilvl w:val="3"/>
          <w:numId w:val="4"/>
        </w:numPr>
        <w:spacing w:before="156" w:after="156"/>
      </w:pPr>
      <w:r>
        <w:rPr>
          <w:rFonts w:hint="eastAsia"/>
        </w:rPr>
        <w:t>自助取票</w:t>
      </w:r>
    </w:p>
    <w:p>
      <w:pPr>
        <w:pStyle w:val="30"/>
      </w:pPr>
      <w:r>
        <w:rPr>
          <w:rFonts w:hint="eastAsia"/>
        </w:rPr>
        <w:t>自助取票指游客通过线上预订门票，并依据唯一凭证至景区现场自助售取票机进行取票。</w:t>
      </w:r>
    </w:p>
    <w:p>
      <w:pPr>
        <w:pStyle w:val="44"/>
        <w:numPr>
          <w:ilvl w:val="3"/>
          <w:numId w:val="4"/>
        </w:numPr>
        <w:spacing w:before="156" w:after="156"/>
      </w:pPr>
      <w:r>
        <w:rPr>
          <w:rFonts w:hint="eastAsia"/>
        </w:rPr>
        <w:t>线上门票查询</w:t>
      </w:r>
    </w:p>
    <w:p>
      <w:pPr>
        <w:pStyle w:val="40"/>
        <w:numPr>
          <w:ilvl w:val="0"/>
          <w:numId w:val="0"/>
        </w:numPr>
        <w:tabs>
          <w:tab w:val="left" w:pos="839"/>
        </w:tabs>
        <w:ind w:firstLine="420" w:firstLineChars="200"/>
      </w:pPr>
      <w:r>
        <w:rPr>
          <w:rFonts w:hint="eastAsia"/>
        </w:rPr>
        <w:t>根据预订渠道不同，游客应通过购票渠道查询订单信息，风景名胜区门票系统能提供实时订单状态的接口查询。对景区官方运营的官网、微官网、扫码购等形式应能支持向订购人展示票种名称、票价、售票时间、入园时间、门票状态、检票时间、检票站点等门票查询信息。</w:t>
      </w:r>
    </w:p>
    <w:p>
      <w:pPr>
        <w:pStyle w:val="44"/>
        <w:numPr>
          <w:ilvl w:val="3"/>
          <w:numId w:val="4"/>
        </w:numPr>
        <w:spacing w:before="156" w:after="156"/>
      </w:pPr>
      <w:r>
        <w:rPr>
          <w:rFonts w:hint="eastAsia"/>
        </w:rPr>
        <w:t>线上门票退票</w:t>
      </w:r>
    </w:p>
    <w:p>
      <w:pPr>
        <w:pStyle w:val="30"/>
      </w:pPr>
      <w:r>
        <w:rPr>
          <w:rFonts w:hint="eastAsia"/>
        </w:rPr>
        <w:t>线上门票退票应采取原路返回原则，退票管理包括有效票退票、失效票退票。有效票退票指在门票有效期内未使用过的门票，能在订单中心进行退票；失效票退票指门票已过有效期或已检票使用但因特殊情况游客需要退票处理的门票，则需联系平台管理方或</w:t>
      </w:r>
      <w:r>
        <w:t>景区，平台管理方</w:t>
      </w:r>
      <w:r>
        <w:rPr>
          <w:rFonts w:hint="eastAsia"/>
        </w:rPr>
        <w:t>或景区</w:t>
      </w:r>
      <w:r>
        <w:t>可根据实际情况及相关规定进行处理</w:t>
      </w:r>
      <w:r>
        <w:rPr>
          <w:rFonts w:hint="eastAsia"/>
        </w:rPr>
        <w:t>。</w:t>
      </w:r>
    </w:p>
    <w:p>
      <w:pPr>
        <w:pStyle w:val="45"/>
        <w:numPr>
          <w:ilvl w:val="2"/>
          <w:numId w:val="4"/>
        </w:numPr>
        <w:spacing w:before="156" w:after="156"/>
      </w:pPr>
      <w:r>
        <w:rPr>
          <w:rFonts w:hint="eastAsia"/>
        </w:rPr>
        <w:t>现场售票管理</w:t>
      </w:r>
    </w:p>
    <w:p>
      <w:pPr>
        <w:pStyle w:val="44"/>
        <w:numPr>
          <w:ilvl w:val="3"/>
          <w:numId w:val="4"/>
        </w:numPr>
        <w:spacing w:before="156" w:after="156"/>
      </w:pPr>
      <w:r>
        <w:rPr>
          <w:rFonts w:hint="eastAsia"/>
        </w:rPr>
        <w:t>现场散客售票</w:t>
      </w:r>
    </w:p>
    <w:p>
      <w:pPr>
        <w:pStyle w:val="30"/>
      </w:pPr>
      <w:r>
        <w:rPr>
          <w:rFonts w:hint="eastAsia"/>
        </w:rPr>
        <w:t>售票员根据后台设定的权限面向现场散客销售各种票型，收取相应票款，并在后台生成售票交易数据。</w:t>
      </w:r>
    </w:p>
    <w:p>
      <w:pPr>
        <w:pStyle w:val="44"/>
        <w:numPr>
          <w:ilvl w:val="3"/>
          <w:numId w:val="4"/>
        </w:numPr>
        <w:spacing w:before="156" w:after="156"/>
      </w:pPr>
      <w:r>
        <w:rPr>
          <w:rFonts w:hint="eastAsia"/>
        </w:rPr>
        <w:t>现场团队售票</w:t>
      </w:r>
    </w:p>
    <w:p>
      <w:pPr>
        <w:pStyle w:val="30"/>
      </w:pPr>
      <w:r>
        <w:rPr>
          <w:rFonts w:hint="eastAsia"/>
        </w:rPr>
        <w:t>售票员根据后台设定的权限面向团队销售各种票型，销售价格依据客户关系管理系统中设定的协议政策进行出票，收取相应的票款，并在后台生成团队售票交易数据。</w:t>
      </w:r>
    </w:p>
    <w:p>
      <w:pPr>
        <w:pStyle w:val="44"/>
        <w:numPr>
          <w:ilvl w:val="3"/>
          <w:numId w:val="4"/>
        </w:numPr>
        <w:spacing w:before="156" w:after="156"/>
      </w:pPr>
      <w:r>
        <w:rPr>
          <w:rFonts w:hint="eastAsia"/>
        </w:rPr>
        <w:t>现场门票查询</w:t>
      </w:r>
    </w:p>
    <w:p>
      <w:pPr>
        <w:pStyle w:val="30"/>
      </w:pPr>
      <w:r>
        <w:rPr>
          <w:rFonts w:hint="eastAsia"/>
        </w:rPr>
        <w:t>通过</w:t>
      </w:r>
      <w:r>
        <w:t>门票票号编码/</w:t>
      </w:r>
      <w:r>
        <w:rPr>
          <w:rFonts w:hint="eastAsia"/>
        </w:rPr>
        <w:t>订单号</w:t>
      </w:r>
      <w:r>
        <w:t>/</w:t>
      </w:r>
      <w:r>
        <w:rPr>
          <w:rFonts w:hint="eastAsia"/>
        </w:rPr>
        <w:t>身份</w:t>
      </w:r>
      <w:r>
        <w:rPr>
          <w:rFonts w:hint="eastAsia"/>
          <w:lang w:val="en-US" w:eastAsia="zh-CN"/>
        </w:rPr>
        <w:t>证</w:t>
      </w:r>
      <w:r>
        <w:rPr>
          <w:rFonts w:hint="eastAsia"/>
        </w:rPr>
        <w:t>号</w:t>
      </w:r>
      <w:r>
        <w:t>/</w:t>
      </w:r>
      <w:r>
        <w:rPr>
          <w:rFonts w:hint="eastAsia"/>
        </w:rPr>
        <w:t>手机号</w:t>
      </w:r>
      <w:r>
        <w:t>等</w:t>
      </w:r>
      <w:r>
        <w:rPr>
          <w:rFonts w:hint="eastAsia"/>
        </w:rPr>
        <w:t>可查询门票基本信息，包括：票种名称、票价、售票时间、入园时间、售票渠道、门票状态等信息</w:t>
      </w:r>
      <w:r>
        <w:t>。</w:t>
      </w:r>
    </w:p>
    <w:p>
      <w:pPr>
        <w:pStyle w:val="44"/>
        <w:numPr>
          <w:ilvl w:val="3"/>
          <w:numId w:val="4"/>
        </w:numPr>
        <w:spacing w:before="156" w:after="156"/>
      </w:pPr>
      <w:r>
        <w:rPr>
          <w:rFonts w:hint="eastAsia"/>
        </w:rPr>
        <w:t>现场退票管理</w:t>
      </w:r>
    </w:p>
    <w:p>
      <w:pPr>
        <w:pStyle w:val="40"/>
        <w:numPr>
          <w:ilvl w:val="0"/>
          <w:numId w:val="0"/>
        </w:numPr>
        <w:tabs>
          <w:tab w:val="left" w:pos="839"/>
        </w:tabs>
        <w:ind w:firstLine="420" w:firstLineChars="200"/>
      </w:pPr>
      <w:r>
        <w:rPr>
          <w:rFonts w:hint="eastAsia"/>
        </w:rPr>
        <w:t>人工退票管理包括有效票退票、失效票退票。有效票退票指在门票有效期内未使用过的门票需要退票处理；失效票退票指门票已过有效期或已检票使用</w:t>
      </w:r>
      <w:r>
        <w:rPr>
          <w:rFonts w:hint="eastAsia"/>
          <w:lang w:eastAsia="zh-CN"/>
        </w:rPr>
        <w:t>，</w:t>
      </w:r>
      <w:r>
        <w:rPr>
          <w:rFonts w:hint="eastAsia"/>
        </w:rPr>
        <w:t>因特殊情况游客需要退票处理，失效票退票需</w:t>
      </w:r>
      <w:r>
        <w:t>景区根据实际情况及景区规则进行处理</w:t>
      </w:r>
      <w:r>
        <w:rPr>
          <w:rFonts w:hint="eastAsia"/>
        </w:rPr>
        <w:t>。</w:t>
      </w:r>
    </w:p>
    <w:p>
      <w:pPr>
        <w:pStyle w:val="44"/>
        <w:numPr>
          <w:ilvl w:val="3"/>
          <w:numId w:val="4"/>
        </w:numPr>
        <w:spacing w:before="156" w:after="156"/>
      </w:pPr>
      <w:r>
        <w:rPr>
          <w:rFonts w:hint="eastAsia"/>
        </w:rPr>
        <w:t>手工票补录</w:t>
      </w:r>
    </w:p>
    <w:p>
      <w:pPr>
        <w:pStyle w:val="30"/>
      </w:pPr>
      <w:r>
        <w:rPr>
          <w:rFonts w:hint="eastAsia"/>
        </w:rPr>
        <w:t>手工票补录是风景名胜区为应对高峰期、不可抗力因素的有效手段，手工票的管理应符合门票系统票证库存管理的相关规定进行有效管理，在售出后应当及时进行系统的补录</w:t>
      </w:r>
      <w:r>
        <w:rPr>
          <w:rFonts w:hint="eastAsia"/>
          <w:lang w:val="en-US" w:eastAsia="zh-CN"/>
        </w:rPr>
        <w:t>并</w:t>
      </w:r>
      <w:r>
        <w:rPr>
          <w:rFonts w:hint="eastAsia"/>
        </w:rPr>
        <w:t>核销。</w:t>
      </w:r>
    </w:p>
    <w:p>
      <w:pPr>
        <w:pStyle w:val="46"/>
        <w:numPr>
          <w:ilvl w:val="1"/>
          <w:numId w:val="4"/>
        </w:numPr>
        <w:spacing w:before="156" w:after="156"/>
      </w:pPr>
      <w:bookmarkStart w:id="227" w:name="_Toc52373929"/>
      <w:r>
        <w:t>检票管理</w:t>
      </w:r>
      <w:bookmarkEnd w:id="227"/>
    </w:p>
    <w:p>
      <w:pPr>
        <w:pStyle w:val="45"/>
        <w:numPr>
          <w:ilvl w:val="2"/>
          <w:numId w:val="4"/>
        </w:numPr>
        <w:spacing w:before="156" w:after="156"/>
      </w:pPr>
      <w:r>
        <w:t>检票管理</w:t>
      </w:r>
    </w:p>
    <w:p>
      <w:pPr>
        <w:pStyle w:val="40"/>
        <w:numPr>
          <w:ilvl w:val="0"/>
          <w:numId w:val="0"/>
        </w:numPr>
        <w:tabs>
          <w:tab w:val="left" w:pos="839"/>
        </w:tabs>
        <w:ind w:firstLine="420" w:firstLineChars="200"/>
      </w:pPr>
      <w:r>
        <w:t>检票管理</w:t>
      </w:r>
      <w:r>
        <w:rPr>
          <w:rFonts w:hint="eastAsia"/>
        </w:rPr>
        <w:t>应主要验证门票的有效性，对持有效门票的游客进行放行入园，同时可在后台保存相应检票数据，并提供检票统计数据。在后台可维护检票通道信息，设定通道指定可检票票型。</w:t>
      </w:r>
    </w:p>
    <w:p>
      <w:pPr>
        <w:pStyle w:val="40"/>
        <w:numPr>
          <w:ilvl w:val="0"/>
          <w:numId w:val="0"/>
        </w:numPr>
        <w:tabs>
          <w:tab w:val="left" w:pos="839"/>
        </w:tabs>
        <w:ind w:firstLine="420" w:firstLineChars="200"/>
      </w:pPr>
      <w:r>
        <w:t>检票管理</w:t>
      </w:r>
      <w:r>
        <w:rPr>
          <w:rFonts w:hint="eastAsia"/>
        </w:rPr>
        <w:t>作为景区游客承载量控制主要途径之一，应根据检票口的环境</w:t>
      </w:r>
      <w:r>
        <w:rPr>
          <w:rFonts w:hint="eastAsia"/>
          <w:lang w:eastAsia="zh-CN"/>
        </w:rPr>
        <w:t>，</w:t>
      </w:r>
      <w:r>
        <w:rPr>
          <w:rFonts w:hint="eastAsia"/>
          <w:lang w:val="en-US" w:eastAsia="zh-CN"/>
        </w:rPr>
        <w:t>可</w:t>
      </w:r>
      <w:r>
        <w:rPr>
          <w:rFonts w:hint="eastAsia"/>
        </w:rPr>
        <w:t>采用劝阻级验证终端或可移动验证终端</w:t>
      </w:r>
      <w:r>
        <w:rPr>
          <w:rFonts w:hint="eastAsia"/>
          <w:lang w:val="en-US" w:eastAsia="zh-CN"/>
        </w:rPr>
        <w:t>的</w:t>
      </w:r>
      <w:r>
        <w:rPr>
          <w:rFonts w:hint="eastAsia"/>
        </w:rPr>
        <w:t>检票方式。当景区内出现</w:t>
      </w:r>
      <w:r>
        <w:t>瞬时</w:t>
      </w:r>
      <w:r>
        <w:rPr>
          <w:rFonts w:hint="eastAsia"/>
        </w:rPr>
        <w:t>承载量预警时，</w:t>
      </w:r>
      <w:r>
        <w:t>可</w:t>
      </w:r>
      <w:r>
        <w:rPr>
          <w:rFonts w:hint="eastAsia"/>
        </w:rPr>
        <w:t>通过人工干预管理控制检票入园速度，当到达设定</w:t>
      </w:r>
      <w:r>
        <w:t>瞬时</w:t>
      </w:r>
      <w:r>
        <w:rPr>
          <w:rFonts w:hint="eastAsia"/>
        </w:rPr>
        <w:t>承载量时系统停止检票。</w:t>
      </w:r>
    </w:p>
    <w:p>
      <w:pPr>
        <w:pStyle w:val="40"/>
        <w:numPr>
          <w:ilvl w:val="0"/>
          <w:numId w:val="0"/>
        </w:numPr>
        <w:tabs>
          <w:tab w:val="left" w:pos="839"/>
        </w:tabs>
        <w:ind w:firstLine="420" w:firstLineChars="200"/>
      </w:pPr>
      <w:r>
        <w:rPr>
          <w:rFonts w:hint="eastAsia"/>
        </w:rPr>
        <w:t>景区</w:t>
      </w:r>
      <w:r>
        <w:t>应根据自身情况考虑是否</w:t>
      </w:r>
      <w:r>
        <w:rPr>
          <w:rFonts w:hint="eastAsia"/>
        </w:rPr>
        <w:t>配置劝阻级无障碍验票闸机。</w:t>
      </w:r>
    </w:p>
    <w:p>
      <w:pPr>
        <w:pStyle w:val="45"/>
        <w:numPr>
          <w:ilvl w:val="2"/>
          <w:numId w:val="4"/>
        </w:numPr>
        <w:spacing w:before="156" w:after="156"/>
      </w:pPr>
      <w:r>
        <w:rPr>
          <w:rFonts w:hint="eastAsia"/>
        </w:rPr>
        <w:t>出园管理</w:t>
      </w:r>
    </w:p>
    <w:p>
      <w:pPr>
        <w:pStyle w:val="30"/>
      </w:pPr>
      <w:r>
        <w:rPr>
          <w:rFonts w:hint="eastAsia"/>
        </w:rPr>
        <w:t>在景区出口处</w:t>
      </w:r>
      <w:r>
        <w:t>根据景区实际业务情况需要，安装相应的出园计数设备，</w:t>
      </w:r>
      <w:r>
        <w:rPr>
          <w:rFonts w:hint="eastAsia"/>
        </w:rPr>
        <w:t>游客离开景区时进行计数，同时在后台保存游客出园数据，将其作为景区游客承载量控制的重要数据之一。</w:t>
      </w:r>
    </w:p>
    <w:p>
      <w:pPr>
        <w:pStyle w:val="33"/>
        <w:numPr>
          <w:ilvl w:val="0"/>
          <w:numId w:val="4"/>
        </w:numPr>
      </w:pPr>
      <w:bookmarkStart w:id="228" w:name="_Toc52373537"/>
      <w:bookmarkStart w:id="229" w:name="_Toc57293274"/>
      <w:r>
        <w:rPr>
          <w:rFonts w:hint="eastAsia"/>
        </w:rPr>
        <w:t>系统性能</w:t>
      </w:r>
      <w:bookmarkEnd w:id="228"/>
      <w:bookmarkEnd w:id="229"/>
    </w:p>
    <w:p>
      <w:pPr>
        <w:pStyle w:val="46"/>
        <w:numPr>
          <w:ilvl w:val="1"/>
          <w:numId w:val="4"/>
        </w:numPr>
        <w:spacing w:before="156" w:after="156"/>
      </w:pPr>
      <w:bookmarkStart w:id="230" w:name="_Toc52373933"/>
      <w:r>
        <w:rPr>
          <w:rFonts w:hint="eastAsia"/>
        </w:rPr>
        <w:t>售票</w:t>
      </w:r>
      <w:r>
        <w:t>响应时间</w:t>
      </w:r>
      <w:bookmarkEnd w:id="230"/>
    </w:p>
    <w:p>
      <w:pPr>
        <w:pStyle w:val="30"/>
      </w:pPr>
      <w:r>
        <w:t>线上售票</w:t>
      </w:r>
      <w:r>
        <w:rPr>
          <w:rFonts w:hint="eastAsia"/>
        </w:rPr>
        <w:t>单</w:t>
      </w:r>
      <w:r>
        <w:t>笔订单的响应时间</w:t>
      </w:r>
      <w:r>
        <w:rPr>
          <w:rFonts w:hint="eastAsia"/>
        </w:rPr>
        <w:t>应不大于</w:t>
      </w:r>
      <w:r>
        <w:t>0.5秒</w:t>
      </w:r>
      <w:r>
        <w:rPr>
          <w:rFonts w:hint="eastAsia"/>
        </w:rPr>
        <w:t>，</w:t>
      </w:r>
      <w:r>
        <w:t>移动支付时间</w:t>
      </w:r>
      <w:r>
        <w:rPr>
          <w:rFonts w:hint="eastAsia"/>
        </w:rPr>
        <w:t>应不大于</w:t>
      </w:r>
      <w:r>
        <w:t>1秒</w:t>
      </w:r>
      <w:r>
        <w:rPr>
          <w:rFonts w:hint="eastAsia"/>
        </w:rPr>
        <w:t>；</w:t>
      </w:r>
      <w:r>
        <w:t>线下售票出一笔订单的响应时间</w:t>
      </w:r>
      <w:r>
        <w:rPr>
          <w:rFonts w:hint="eastAsia"/>
        </w:rPr>
        <w:t>应不大于</w:t>
      </w:r>
      <w:r>
        <w:t>0.5秒</w:t>
      </w:r>
      <w:r>
        <w:rPr>
          <w:rFonts w:hint="eastAsia"/>
        </w:rPr>
        <w:t>，</w:t>
      </w:r>
      <w:r>
        <w:t>移动支付时间</w:t>
      </w:r>
      <w:r>
        <w:rPr>
          <w:rFonts w:hint="eastAsia"/>
        </w:rPr>
        <w:t>应不大于</w:t>
      </w:r>
      <w:r>
        <w:t>1秒</w:t>
      </w:r>
      <w:r>
        <w:rPr>
          <w:rFonts w:hint="eastAsia"/>
        </w:rPr>
        <w:t>。</w:t>
      </w:r>
    </w:p>
    <w:p>
      <w:pPr>
        <w:pStyle w:val="46"/>
        <w:numPr>
          <w:ilvl w:val="1"/>
          <w:numId w:val="4"/>
        </w:numPr>
        <w:spacing w:before="156" w:after="156"/>
      </w:pPr>
      <w:bookmarkStart w:id="231" w:name="_Toc52373934"/>
      <w:r>
        <w:rPr>
          <w:rFonts w:hint="eastAsia"/>
        </w:rPr>
        <w:t>退票</w:t>
      </w:r>
      <w:r>
        <w:t>响应时间</w:t>
      </w:r>
      <w:bookmarkEnd w:id="231"/>
    </w:p>
    <w:p>
      <w:pPr>
        <w:pStyle w:val="30"/>
      </w:pPr>
      <w:r>
        <w:t>线上退</w:t>
      </w:r>
      <w:r>
        <w:rPr>
          <w:rFonts w:hint="eastAsia"/>
        </w:rPr>
        <w:t>票单笔</w:t>
      </w:r>
      <w:r>
        <w:t>订单的响应时间</w:t>
      </w:r>
      <w:r>
        <w:rPr>
          <w:rFonts w:hint="eastAsia"/>
        </w:rPr>
        <w:t>应不大于</w:t>
      </w:r>
      <w:r>
        <w:t>0.5秒</w:t>
      </w:r>
      <w:r>
        <w:rPr>
          <w:rFonts w:hint="eastAsia"/>
        </w:rPr>
        <w:t>，</w:t>
      </w:r>
      <w:r>
        <w:t>移动支付时间</w:t>
      </w:r>
      <w:r>
        <w:rPr>
          <w:rFonts w:hint="eastAsia"/>
        </w:rPr>
        <w:t>应不大于</w:t>
      </w:r>
      <w:r>
        <w:t>1秒</w:t>
      </w:r>
      <w:r>
        <w:rPr>
          <w:rFonts w:hint="eastAsia"/>
        </w:rPr>
        <w:t>；</w:t>
      </w:r>
      <w:r>
        <w:t>线下退一笔订单的响应时间</w:t>
      </w:r>
      <w:r>
        <w:rPr>
          <w:rFonts w:hint="eastAsia"/>
        </w:rPr>
        <w:t>应不大于</w:t>
      </w:r>
      <w:r>
        <w:t>0.5秒</w:t>
      </w:r>
      <w:r>
        <w:rPr>
          <w:rFonts w:hint="eastAsia"/>
        </w:rPr>
        <w:t>，</w:t>
      </w:r>
      <w:r>
        <w:t>移动支付时间</w:t>
      </w:r>
      <w:r>
        <w:rPr>
          <w:rFonts w:hint="eastAsia"/>
        </w:rPr>
        <w:t>应不大于</w:t>
      </w:r>
      <w:r>
        <w:t>1秒</w:t>
      </w:r>
      <w:r>
        <w:rPr>
          <w:rFonts w:hint="eastAsia"/>
        </w:rPr>
        <w:t>。</w:t>
      </w:r>
    </w:p>
    <w:p>
      <w:pPr>
        <w:pStyle w:val="46"/>
        <w:numPr>
          <w:ilvl w:val="1"/>
          <w:numId w:val="4"/>
        </w:numPr>
        <w:spacing w:before="156" w:after="156"/>
      </w:pPr>
      <w:bookmarkStart w:id="232" w:name="_Toc52373935"/>
      <w:r>
        <w:rPr>
          <w:rFonts w:hint="eastAsia"/>
        </w:rPr>
        <w:t>检票</w:t>
      </w:r>
      <w:r>
        <w:t>响应时间</w:t>
      </w:r>
      <w:bookmarkEnd w:id="232"/>
    </w:p>
    <w:p>
      <w:pPr>
        <w:pStyle w:val="30"/>
      </w:pPr>
      <w:r>
        <w:t>实体入园凭证（条码/二维码票）</w:t>
      </w:r>
      <w:r>
        <w:rPr>
          <w:rFonts w:hint="eastAsia"/>
        </w:rPr>
        <w:t>检票应不大于</w:t>
      </w:r>
      <w:r>
        <w:t>0.5秒</w:t>
      </w:r>
      <w:r>
        <w:rPr>
          <w:rFonts w:hint="eastAsia"/>
        </w:rPr>
        <w:t>，</w:t>
      </w:r>
      <w:r>
        <w:t>身份证</w:t>
      </w:r>
      <w:r>
        <w:rPr>
          <w:rFonts w:hint="eastAsia"/>
        </w:rPr>
        <w:t>检</w:t>
      </w:r>
      <w:r>
        <w:t>票</w:t>
      </w:r>
      <w:r>
        <w:rPr>
          <w:rFonts w:hint="eastAsia"/>
        </w:rPr>
        <w:t>应不大于0</w:t>
      </w:r>
      <w:r>
        <w:t>.5秒</w:t>
      </w:r>
      <w:r>
        <w:rPr>
          <w:rFonts w:hint="eastAsia"/>
        </w:rPr>
        <w:t>，</w:t>
      </w:r>
      <w:r>
        <w:t>1：1人脸比对检票</w:t>
      </w:r>
      <w:r>
        <w:rPr>
          <w:rFonts w:hint="eastAsia"/>
        </w:rPr>
        <w:t>应不大于1</w:t>
      </w:r>
      <w:r>
        <w:t>秒</w:t>
      </w:r>
      <w:r>
        <w:rPr>
          <w:rFonts w:hint="eastAsia"/>
        </w:rPr>
        <w:t>，</w:t>
      </w:r>
      <w:r>
        <w:t>1：N人脸比对</w:t>
      </w:r>
      <w:r>
        <w:rPr>
          <w:rFonts w:hint="eastAsia"/>
        </w:rPr>
        <w:t>检票应不大于</w:t>
      </w:r>
      <w:r>
        <w:t>2秒</w:t>
      </w:r>
      <w:r>
        <w:rPr>
          <w:rFonts w:hint="eastAsia"/>
        </w:rPr>
        <w:t>。</w:t>
      </w:r>
    </w:p>
    <w:p>
      <w:pPr>
        <w:pStyle w:val="33"/>
        <w:numPr>
          <w:ilvl w:val="0"/>
          <w:numId w:val="4"/>
        </w:numPr>
      </w:pPr>
      <w:bookmarkStart w:id="233" w:name="_Toc52373538"/>
      <w:bookmarkStart w:id="234" w:name="_Toc57293275"/>
      <w:bookmarkStart w:id="235" w:name="_Toc52373936"/>
      <w:r>
        <w:t>接口</w:t>
      </w:r>
      <w:bookmarkEnd w:id="233"/>
      <w:bookmarkEnd w:id="234"/>
      <w:bookmarkEnd w:id="235"/>
      <w:bookmarkStart w:id="236" w:name="_Toc52373539"/>
      <w:bookmarkEnd w:id="236"/>
      <w:bookmarkStart w:id="237" w:name="_Toc511910702"/>
    </w:p>
    <w:p>
      <w:pPr>
        <w:pStyle w:val="46"/>
        <w:numPr>
          <w:ilvl w:val="1"/>
          <w:numId w:val="4"/>
        </w:numPr>
        <w:spacing w:before="156" w:after="156"/>
      </w:pPr>
      <w:bookmarkStart w:id="238" w:name="_Toc52373938"/>
      <w:r>
        <w:t>售票终端与售票系统接口</w:t>
      </w:r>
      <w:bookmarkEnd w:id="238"/>
    </w:p>
    <w:p>
      <w:pPr>
        <w:pStyle w:val="30"/>
      </w:pPr>
      <w:r>
        <w:rPr>
          <w:rFonts w:hint="eastAsia"/>
        </w:rPr>
        <w:t>售票终端与售票系统接口，应通过终端设备记录售票数据并通过同步接口或者异步接口通知售票系统。终端应支持</w:t>
      </w:r>
      <w:r>
        <w:t>LINUX/</w:t>
      </w:r>
      <w:r>
        <w:rPr>
          <w:rFonts w:hint="eastAsia"/>
        </w:rPr>
        <w:t>WINDOWS</w:t>
      </w:r>
      <w:r>
        <w:t>/ANDRIOD/</w:t>
      </w:r>
      <w:r>
        <w:rPr>
          <w:rFonts w:hint="eastAsia"/>
        </w:rPr>
        <w:t>HTML运行。通讯协议采用HTTP，支持双向加密解密。售票终端组装数据包采用XML/</w:t>
      </w:r>
      <w:r>
        <w:t>JSON</w:t>
      </w:r>
      <w:r>
        <w:rPr>
          <w:rFonts w:hint="eastAsia"/>
        </w:rPr>
        <w:t>格式字符串进行报文组装，与售票系统接口进行交互。</w:t>
      </w:r>
    </w:p>
    <w:p>
      <w:pPr>
        <w:pStyle w:val="46"/>
        <w:numPr>
          <w:ilvl w:val="1"/>
          <w:numId w:val="4"/>
        </w:numPr>
        <w:spacing w:before="156" w:after="156"/>
      </w:pPr>
      <w:bookmarkStart w:id="239" w:name="_Toc52373939"/>
      <w:r>
        <w:rPr>
          <w:rFonts w:hint="eastAsia"/>
        </w:rPr>
        <w:t>检票终端与检票系统接口</w:t>
      </w:r>
      <w:bookmarkEnd w:id="239"/>
    </w:p>
    <w:p>
      <w:pPr>
        <w:pStyle w:val="30"/>
      </w:pPr>
      <w:r>
        <w:rPr>
          <w:rFonts w:hint="eastAsia"/>
        </w:rPr>
        <w:t>检票终端应是</w:t>
      </w:r>
      <w:r>
        <w:t>LINUX/</w:t>
      </w:r>
      <w:r>
        <w:rPr>
          <w:rFonts w:hint="eastAsia"/>
        </w:rPr>
        <w:t>WINDOWS</w:t>
      </w:r>
      <w:r>
        <w:t>/ANDRIOD</w:t>
      </w:r>
      <w:r>
        <w:rPr>
          <w:rFonts w:hint="eastAsia"/>
        </w:rPr>
        <w:t>运行环境，硬件支持条码</w:t>
      </w:r>
      <w:r>
        <w:t>/</w:t>
      </w:r>
      <w:r>
        <w:rPr>
          <w:rFonts w:hint="eastAsia"/>
        </w:rPr>
        <w:t>二维码扫描</w:t>
      </w:r>
      <w:r>
        <w:t>/</w:t>
      </w:r>
      <w:r>
        <w:rPr>
          <w:rFonts w:hint="eastAsia"/>
        </w:rPr>
        <w:t>身份证读取、护照读取、IC卡读取、可支持OCR读取特殊证件；生物识别特征采集支持：人脸采集、指纹采集</w:t>
      </w:r>
      <w:r>
        <w:rPr>
          <w:rFonts w:hint="eastAsia"/>
          <w:lang w:val="en-US" w:eastAsia="zh-CN"/>
        </w:rPr>
        <w:t>等</w:t>
      </w:r>
      <w:r>
        <w:rPr>
          <w:rFonts w:hint="eastAsia"/>
        </w:rPr>
        <w:t>方式；通讯协议采用HTTP；接口必须对售票终端</w:t>
      </w:r>
      <w:r>
        <w:t>IP</w:t>
      </w:r>
      <w:r>
        <w:rPr>
          <w:rFonts w:hint="eastAsia"/>
        </w:rPr>
        <w:t>有黑白名单管理，加密KEY，支持双向加密解密，售票终端组装数据包应采用XML</w:t>
      </w:r>
      <w:r>
        <w:t>/</w:t>
      </w:r>
      <w:r>
        <w:rPr>
          <w:rFonts w:hint="eastAsia"/>
        </w:rPr>
        <w:t>J</w:t>
      </w:r>
      <w:r>
        <w:t>SON</w:t>
      </w:r>
      <w:r>
        <w:rPr>
          <w:rFonts w:hint="eastAsia"/>
        </w:rPr>
        <w:t>格式字符串进行报文组装，与检票系统进行接口交互。</w:t>
      </w:r>
    </w:p>
    <w:p>
      <w:pPr>
        <w:pStyle w:val="46"/>
        <w:numPr>
          <w:ilvl w:val="1"/>
          <w:numId w:val="4"/>
        </w:numPr>
        <w:spacing w:before="156" w:after="156"/>
      </w:pPr>
      <w:bookmarkStart w:id="240" w:name="_Toc52373940"/>
      <w:r>
        <w:rPr>
          <w:rFonts w:hint="eastAsia"/>
        </w:rPr>
        <w:t>门票应用系统与门票中心系统接口</w:t>
      </w:r>
      <w:bookmarkEnd w:id="240"/>
    </w:p>
    <w:p>
      <w:pPr>
        <w:pStyle w:val="30"/>
      </w:pPr>
      <w:r>
        <w:rPr>
          <w:rFonts w:hint="eastAsia"/>
        </w:rPr>
        <w:t>门票应用系统与门票中心系统接口应采用同步、异步通讯技术；通讯协议应采用HTTP；接口支持双向加密解密，售票终端组装数据包应采用XML</w:t>
      </w:r>
      <w:r>
        <w:t>/JSON</w:t>
      </w:r>
      <w:r>
        <w:rPr>
          <w:rFonts w:hint="eastAsia" w:hAnsi="宋体"/>
        </w:rPr>
        <w:t>，</w:t>
      </w:r>
      <w:r>
        <w:rPr>
          <w:rFonts w:hint="eastAsia"/>
        </w:rPr>
        <w:t>格式字符串进行报文组装，与检票系统进行接口交互。</w:t>
      </w:r>
      <w:bookmarkEnd w:id="237"/>
    </w:p>
    <w:p>
      <w:pPr>
        <w:pStyle w:val="46"/>
        <w:numPr>
          <w:ilvl w:val="1"/>
          <w:numId w:val="4"/>
        </w:numPr>
        <w:spacing w:before="156" w:after="156"/>
      </w:pPr>
      <w:bookmarkStart w:id="241" w:name="_Toc52373941"/>
      <w:r>
        <w:rPr>
          <w:rFonts w:hint="eastAsia"/>
        </w:rPr>
        <w:t>门票中心系统与外部系统接口</w:t>
      </w:r>
      <w:bookmarkEnd w:id="241"/>
    </w:p>
    <w:p>
      <w:pPr>
        <w:pStyle w:val="30"/>
        <w:rPr>
          <w:rFonts w:hAnsi="宋体"/>
        </w:rPr>
      </w:pPr>
      <w:r>
        <w:rPr>
          <w:rFonts w:hAnsi="宋体"/>
        </w:rPr>
        <w:t>门票系统作为景区业务生产系统，应在</w:t>
      </w:r>
      <w:r>
        <w:rPr>
          <w:rFonts w:hint="eastAsia" w:hAnsi="宋体"/>
        </w:rPr>
        <w:t>确保</w:t>
      </w:r>
      <w:r>
        <w:rPr>
          <w:rFonts w:hAnsi="宋体"/>
        </w:rPr>
        <w:t>安全</w:t>
      </w:r>
      <w:r>
        <w:rPr>
          <w:rFonts w:hint="eastAsia" w:hAnsi="宋体"/>
        </w:rPr>
        <w:t>的前提下，</w:t>
      </w:r>
      <w:r>
        <w:rPr>
          <w:rFonts w:hAnsi="宋体"/>
        </w:rPr>
        <w:t>对外提供API接口</w:t>
      </w:r>
      <w:r>
        <w:rPr>
          <w:rFonts w:hint="eastAsia" w:hAnsi="宋体"/>
        </w:rPr>
        <w:t>；接口通讯协议采用HTTP，支持双向加密解密，数据包应采用XML</w:t>
      </w:r>
      <w:r>
        <w:rPr>
          <w:rFonts w:hAnsi="宋体"/>
        </w:rPr>
        <w:t>/JSON</w:t>
      </w:r>
      <w:r>
        <w:rPr>
          <w:rFonts w:hint="eastAsia" w:hAnsi="宋体"/>
        </w:rPr>
        <w:t>格式字符串进行报文组装，应有安全机制，对调用API接口的系统进行认证。</w:t>
      </w:r>
    </w:p>
    <w:p>
      <w:pPr>
        <w:pStyle w:val="33"/>
        <w:numPr>
          <w:ilvl w:val="0"/>
          <w:numId w:val="4"/>
        </w:numPr>
      </w:pPr>
      <w:bookmarkStart w:id="242" w:name="_Toc527563913"/>
      <w:bookmarkStart w:id="243" w:name="_Toc531251755"/>
      <w:bookmarkStart w:id="244" w:name="_Toc531726274"/>
      <w:bookmarkStart w:id="245" w:name="_Toc530477422"/>
      <w:bookmarkStart w:id="246" w:name="_Toc531716392"/>
      <w:bookmarkStart w:id="247" w:name="_Toc530383697"/>
      <w:bookmarkStart w:id="248" w:name="_Toc531724641"/>
      <w:bookmarkStart w:id="249" w:name="_Toc531251541"/>
      <w:bookmarkStart w:id="250" w:name="_Toc530411553"/>
      <w:bookmarkStart w:id="251" w:name="_Toc531263138"/>
      <w:bookmarkStart w:id="252" w:name="_Toc524963274"/>
      <w:bookmarkStart w:id="253" w:name="_Toc527563381"/>
      <w:bookmarkStart w:id="254" w:name="_Toc530412437"/>
      <w:bookmarkStart w:id="255" w:name="_Toc530477296"/>
      <w:bookmarkStart w:id="256" w:name="_Toc52373540"/>
      <w:bookmarkStart w:id="257" w:name="_Toc57293276"/>
      <w:bookmarkStart w:id="258" w:name="_Toc52373942"/>
      <w:r>
        <w:rPr>
          <w:rFonts w:hint="eastAsia"/>
        </w:rPr>
        <w:t>安全</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rFonts w:hint="eastAsia"/>
        </w:rPr>
        <w:t>要求</w:t>
      </w:r>
      <w:bookmarkEnd w:id="256"/>
      <w:bookmarkEnd w:id="257"/>
      <w:bookmarkEnd w:id="258"/>
      <w:bookmarkStart w:id="259" w:name="_Toc52373541"/>
      <w:bookmarkEnd w:id="259"/>
    </w:p>
    <w:p>
      <w:pPr>
        <w:pStyle w:val="46"/>
        <w:numPr>
          <w:ilvl w:val="1"/>
          <w:numId w:val="4"/>
        </w:numPr>
        <w:spacing w:before="156" w:after="156"/>
      </w:pPr>
      <w:bookmarkStart w:id="260" w:name="_Toc52373944"/>
      <w:r>
        <w:t>支撑系统安全要求</w:t>
      </w:r>
      <w:bookmarkEnd w:id="260"/>
    </w:p>
    <w:p>
      <w:pPr>
        <w:pStyle w:val="30"/>
        <w:ind w:firstLineChars="0"/>
      </w:pPr>
      <w:r>
        <w:t>支撑系统</w:t>
      </w:r>
      <w:r>
        <w:rPr>
          <w:rFonts w:hint="eastAsia"/>
        </w:rPr>
        <w:t>应</w:t>
      </w:r>
      <w:r>
        <w:t>为</w:t>
      </w:r>
      <w:r>
        <w:rPr>
          <w:rFonts w:hint="eastAsia"/>
        </w:rPr>
        <w:t>门票</w:t>
      </w:r>
      <w:r>
        <w:t>系统提供支撑作用，会因景区而异，因此本</w:t>
      </w:r>
      <w:r>
        <w:rPr>
          <w:rFonts w:hint="eastAsia"/>
        </w:rPr>
        <w:t>规范</w:t>
      </w:r>
      <w:r>
        <w:t>不对其进行统一要求，各支撑系统符合国家对相关业务系统要求即可。</w:t>
      </w:r>
    </w:p>
    <w:p>
      <w:pPr>
        <w:pStyle w:val="46"/>
        <w:numPr>
          <w:ilvl w:val="1"/>
          <w:numId w:val="4"/>
        </w:numPr>
        <w:tabs>
          <w:tab w:val="center" w:pos="4201"/>
          <w:tab w:val="right" w:leader="dot" w:pos="9298"/>
        </w:tabs>
        <w:spacing w:before="156" w:after="156"/>
      </w:pPr>
      <w:bookmarkStart w:id="261" w:name="_Toc52373945"/>
      <w:r>
        <w:t>门票系统安全要求</w:t>
      </w:r>
      <w:bookmarkEnd w:id="261"/>
    </w:p>
    <w:p>
      <w:pPr>
        <w:pStyle w:val="45"/>
        <w:numPr>
          <w:ilvl w:val="2"/>
          <w:numId w:val="4"/>
        </w:numPr>
        <w:spacing w:before="156" w:after="156"/>
      </w:pPr>
      <w:r>
        <w:rPr>
          <w:rFonts w:hint="eastAsia"/>
        </w:rPr>
        <w:t>信息安全</w:t>
      </w:r>
    </w:p>
    <w:p>
      <w:pPr>
        <w:pStyle w:val="40"/>
        <w:numPr>
          <w:ilvl w:val="0"/>
          <w:numId w:val="0"/>
        </w:numPr>
        <w:ind w:firstLine="420" w:firstLineChars="200"/>
      </w:pPr>
      <w:r>
        <w:rPr>
          <w:lang w:bidi="ar"/>
        </w:rPr>
        <w:t>建立日志体系</w:t>
      </w:r>
      <w:r>
        <w:rPr>
          <w:rFonts w:hint="eastAsia"/>
          <w:lang w:bidi="ar"/>
        </w:rPr>
        <w:t>,</w:t>
      </w:r>
      <w:r>
        <w:rPr>
          <w:lang w:bidi="ar"/>
        </w:rPr>
        <w:t>在应用服务层和数据库层</w:t>
      </w:r>
      <w:r>
        <w:rPr>
          <w:rFonts w:hint="eastAsia"/>
          <w:lang w:bidi="ar"/>
        </w:rPr>
        <w:t>应</w:t>
      </w:r>
      <w:r>
        <w:rPr>
          <w:lang w:bidi="ar"/>
        </w:rPr>
        <w:t>分别设有日志，为非法登录控制、事故追查等提供</w:t>
      </w:r>
      <w:r>
        <w:rPr>
          <w:rFonts w:hint="eastAsia"/>
          <w:lang w:bidi="ar"/>
        </w:rPr>
        <w:t>可靠</w:t>
      </w:r>
      <w:r>
        <w:rPr>
          <w:lang w:bidi="ar"/>
        </w:rPr>
        <w:t>手段。日志管理模块可将日志开放给相关操作人员查询和下载</w:t>
      </w:r>
      <w:r>
        <w:rPr>
          <w:rFonts w:hint="eastAsia" w:hAnsi="宋体"/>
        </w:rPr>
        <w:t>。</w:t>
      </w:r>
      <w:r>
        <w:rPr>
          <w:rFonts w:hint="eastAsia"/>
          <w:lang w:bidi="ar"/>
        </w:rPr>
        <w:t>针对</w:t>
      </w:r>
      <w:r>
        <w:rPr>
          <w:lang w:bidi="ar"/>
        </w:rPr>
        <w:t>敏感重要数据进行加密存储。传输数据</w:t>
      </w:r>
      <w:r>
        <w:rPr>
          <w:rFonts w:hint="eastAsia"/>
          <w:lang w:bidi="ar"/>
        </w:rPr>
        <w:t>应</w:t>
      </w:r>
      <w:r>
        <w:rPr>
          <w:lang w:bidi="ar"/>
        </w:rPr>
        <w:t>采用加密技术</w:t>
      </w:r>
      <w:r>
        <w:rPr>
          <w:rFonts w:hint="eastAsia"/>
          <w:lang w:bidi="ar"/>
        </w:rPr>
        <w:t>。</w:t>
      </w:r>
    </w:p>
    <w:p>
      <w:pPr>
        <w:pStyle w:val="40"/>
        <w:numPr>
          <w:ilvl w:val="0"/>
          <w:numId w:val="0"/>
        </w:numPr>
        <w:ind w:firstLine="420" w:firstLineChars="200"/>
      </w:pPr>
      <w:r>
        <w:rPr>
          <w:rFonts w:hint="eastAsia"/>
          <w:lang w:bidi="ar"/>
        </w:rPr>
        <w:t>身份认证及传输加密安全应用，景区可根据自身实际需要，实现景区</w:t>
      </w:r>
      <w:r>
        <w:rPr>
          <w:lang w:bidi="ar"/>
        </w:rPr>
        <w:t>门票系统</w:t>
      </w:r>
      <w:r>
        <w:rPr>
          <w:rFonts w:hint="eastAsia"/>
          <w:lang w:bidi="ar"/>
        </w:rPr>
        <w:t>与终端设备之间双向身份认证以及数据传输的安全，应采用电子凭证的方式，应用示意见图</w:t>
      </w:r>
      <w:r>
        <w:rPr>
          <w:rFonts w:hint="eastAsia" w:ascii="Times New Roman" w:hAnsi="Times New Roman" w:eastAsia="宋体" w:cs="Times New Roman"/>
          <w:kern w:val="2"/>
          <w:sz w:val="21"/>
          <w:szCs w:val="24"/>
          <w:lang w:val="en-US" w:eastAsia="zh-CN" w:bidi="ar-SA"/>
        </w:rPr>
        <w:t>4</w:t>
      </w:r>
      <w:r>
        <w:rPr>
          <w:rFonts w:hint="eastAsia"/>
          <w:lang w:bidi="ar"/>
        </w:rPr>
        <w:t>，具体应用要求如下：</w:t>
      </w:r>
    </w:p>
    <w:p>
      <w:pPr>
        <w:pStyle w:val="40"/>
        <w:numPr>
          <w:ilvl w:val="0"/>
          <w:numId w:val="8"/>
        </w:numPr>
        <w:ind w:leftChars="200"/>
      </w:pPr>
      <w:r>
        <w:rPr>
          <w:rFonts w:hint="eastAsia"/>
        </w:rPr>
        <w:t>景区业务平台：景区业务平台作为应用，接入安全服务云，获得应用凭证，应根据实际应用场景，在景区入口闸机及自助售票终端中以安全模块的形式集成设备凭证，使设备在业务平台中具有身份，支撑与景区业务平台之间的双向身份验证与数据的加密传输应用；</w:t>
      </w:r>
    </w:p>
    <w:p>
      <w:pPr>
        <w:pStyle w:val="40"/>
        <w:numPr>
          <w:ilvl w:val="0"/>
          <w:numId w:val="8"/>
        </w:numPr>
        <w:ind w:left="840" w:leftChars="200" w:hanging="420" w:hangingChars="200"/>
      </w:pPr>
      <w:r>
        <w:rPr>
          <w:rFonts w:hint="eastAsia"/>
        </w:rPr>
        <w:t>人工售票：景区人工售票主要通过终端（即PC）实现，需要终端具备终端凭证，实现售票业务与业务平台的交互，同时支撑与业务平台的双向身份验证与数据的加密传输应用；</w:t>
      </w:r>
    </w:p>
    <w:p>
      <w:pPr>
        <w:pStyle w:val="40"/>
        <w:numPr>
          <w:ilvl w:val="0"/>
          <w:numId w:val="8"/>
        </w:numPr>
        <w:ind w:left="840" w:leftChars="200" w:hanging="420" w:hangingChars="200"/>
      </w:pPr>
      <w:r>
        <w:rPr>
          <w:rFonts w:hint="eastAsia"/>
        </w:rPr>
        <w:t>网络售票：通过对接网络营销平台拓展线上售票业务，网络售票作为接入服务，应对门票数据的安全进行保障，通过服务（应用）凭证的接入，可确定所接入网络营销平台的身份，进而判断是否具有合法售票权限，其交互也可通过凭证完成数据的加密传输；</w:t>
      </w:r>
    </w:p>
    <w:p>
      <w:pPr>
        <w:pStyle w:val="40"/>
        <w:numPr>
          <w:ilvl w:val="0"/>
          <w:numId w:val="8"/>
        </w:numPr>
        <w:ind w:left="840" w:leftChars="200" w:hanging="420" w:hangingChars="200"/>
      </w:pPr>
      <w:r>
        <w:rPr>
          <w:rFonts w:hint="eastAsia"/>
        </w:rPr>
        <w:t>终端设备：终端设备应支持国密算法，凭证加载方式可以硬件形式预置于设备中，也可以软件形式预置于设备固件中。</w:t>
      </w:r>
    </w:p>
    <w:p>
      <w:pPr>
        <w:pStyle w:val="30"/>
        <w:ind w:firstLine="0" w:firstLineChars="0"/>
        <w:jc w:val="center"/>
      </w:pPr>
      <w:r>
        <w:object>
          <v:shape id="_x0000_i1028" o:spt="75" type="#_x0000_t75" style="height:199.75pt;width:414.6pt;" o:ole="t" filled="f" o:preferrelative="t" stroked="f" coordsize="21600,21600">
            <v:path/>
            <v:fill on="f" focussize="0,0"/>
            <v:stroke on="f" joinstyle="miter"/>
            <v:imagedata r:id="rId17" o:title=""/>
            <o:lock v:ext="edit" aspectratio="t"/>
            <w10:wrap type="none"/>
            <w10:anchorlock/>
          </v:shape>
          <o:OLEObject Type="Embed" ProgID="Visio.Drawing.15" ShapeID="_x0000_i1028" DrawAspect="Content" ObjectID="_1468075728" r:id="rId16">
            <o:LockedField>false</o:LockedField>
          </o:OLEObject>
        </w:object>
      </w:r>
    </w:p>
    <w:p>
      <w:pPr>
        <w:pStyle w:val="30"/>
        <w:ind w:firstLine="0" w:firstLineChars="0"/>
        <w:jc w:val="center"/>
        <w:rPr>
          <w:rFonts w:ascii="黑体" w:hAnsi="黑体" w:eastAsia="黑体"/>
        </w:rPr>
      </w:pPr>
      <w:r>
        <w:rPr>
          <w:rFonts w:hint="eastAsia" w:ascii="黑体" w:hAnsi="黑体" w:eastAsia="黑体"/>
        </w:rPr>
        <w:t>图4 景区业务平台安全应用示意图</w:t>
      </w:r>
    </w:p>
    <w:p>
      <w:pPr>
        <w:pStyle w:val="45"/>
        <w:numPr>
          <w:ilvl w:val="2"/>
          <w:numId w:val="4"/>
        </w:numPr>
        <w:spacing w:before="156" w:after="156"/>
        <w:rPr>
          <w:rFonts w:hAnsi="宋体" w:cs="宋体"/>
          <w:lang w:bidi="ar"/>
        </w:rPr>
      </w:pPr>
      <w:r>
        <w:rPr>
          <w:rFonts w:hAnsi="宋体" w:cs="宋体"/>
          <w:lang w:bidi="ar"/>
        </w:rPr>
        <w:t>网络安全</w:t>
      </w:r>
    </w:p>
    <w:p>
      <w:pPr>
        <w:pStyle w:val="40"/>
        <w:numPr>
          <w:ilvl w:val="0"/>
          <w:numId w:val="0"/>
        </w:numPr>
        <w:ind w:firstLine="420" w:firstLineChars="200"/>
        <w:rPr>
          <w:rFonts w:hAnsi="宋体" w:cs="宋体"/>
          <w:lang w:bidi="ar"/>
        </w:rPr>
      </w:pPr>
      <w:r>
        <w:rPr>
          <w:rFonts w:hint="eastAsia" w:hAnsi="宋体" w:cs="宋体"/>
          <w:lang w:bidi="ar"/>
        </w:rPr>
        <w:t>门票系统应根据实际情况，按照国家对于网络安全的总体要求进行相应建设，确保系统中的游客个人隐私数据不出现重大泄露事故。</w:t>
      </w:r>
    </w:p>
    <w:p>
      <w:pPr>
        <w:pStyle w:val="46"/>
        <w:numPr>
          <w:ilvl w:val="1"/>
          <w:numId w:val="4"/>
        </w:numPr>
        <w:spacing w:before="156" w:after="156"/>
      </w:pPr>
      <w:bookmarkStart w:id="262" w:name="_Toc52373947"/>
      <w:bookmarkEnd w:id="262"/>
      <w:bookmarkStart w:id="263" w:name="_Toc52373946"/>
      <w:bookmarkEnd w:id="263"/>
      <w:bookmarkStart w:id="264" w:name="_Toc52373780"/>
      <w:bookmarkEnd w:id="264"/>
      <w:bookmarkStart w:id="265" w:name="_Toc52373781"/>
      <w:bookmarkEnd w:id="265"/>
      <w:bookmarkStart w:id="266" w:name="_Toc52373948"/>
      <w:r>
        <w:t>安全</w:t>
      </w:r>
      <w:r>
        <w:rPr>
          <w:rFonts w:hint="eastAsia"/>
        </w:rPr>
        <w:t>认证</w:t>
      </w:r>
      <w:r>
        <w:t>要求</w:t>
      </w:r>
      <w:bookmarkEnd w:id="266"/>
    </w:p>
    <w:p>
      <w:pPr>
        <w:ind w:firstLine="420" w:firstLineChars="200"/>
        <w:rPr>
          <w:rFonts w:ascii="宋体" w:hAnsi="宋体"/>
          <w:szCs w:val="21"/>
        </w:rPr>
      </w:pPr>
      <w:r>
        <w:rPr>
          <w:rFonts w:hint="eastAsia" w:ascii="宋体" w:hAnsi="宋体"/>
          <w:szCs w:val="21"/>
        </w:rPr>
        <w:t>门票系统在与终端设备、其它平台之间进行身份认证与数据加密传输时，应使用国家密码管理局批准的商用密码算法。</w:t>
      </w:r>
    </w:p>
    <w:p>
      <w:pPr>
        <w:ind w:firstLine="420" w:firstLineChars="200"/>
        <w:jc w:val="both"/>
        <w:rPr>
          <w:rFonts w:ascii="宋体" w:hAnsi="宋体"/>
          <w:szCs w:val="21"/>
        </w:rPr>
      </w:pPr>
      <w:r>
        <w:rPr>
          <w:rFonts w:hint="eastAsia" w:ascii="宋体" w:hAnsi="宋体"/>
          <w:szCs w:val="21"/>
        </w:rPr>
        <w:t>通过安全服务对数据交互的两端进行认证/授权，两端通过认证获取的证书完成双向身份认证，进而建立加密传输通道，通过密钥对业务数据进行加密传输，示意图如图</w:t>
      </w:r>
      <w:r>
        <w:rPr>
          <w:rFonts w:hint="eastAsia"/>
        </w:rPr>
        <w:t>5</w:t>
      </w:r>
      <w:r>
        <w:rPr>
          <w:rFonts w:hint="eastAsia" w:ascii="宋体" w:hAnsi="宋体"/>
          <w:szCs w:val="21"/>
        </w:rPr>
        <w:t>所示。</w:t>
      </w:r>
      <w:r>
        <w:rPr>
          <w:rFonts w:hint="eastAsia" w:ascii="宋体" w:hAnsi="宋体"/>
          <w:szCs w:val="21"/>
        </w:rPr>
        <w:drawing>
          <wp:inline distT="0" distB="0" distL="0" distR="0">
            <wp:extent cx="5143500" cy="2719705"/>
            <wp:effectExtent l="0" t="0" r="0" b="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43500" cy="2719705"/>
                    </a:xfrm>
                    <a:prstGeom prst="rect">
                      <a:avLst/>
                    </a:prstGeom>
                    <a:noFill/>
                    <a:ln>
                      <a:noFill/>
                    </a:ln>
                    <a:effectLst/>
                  </pic:spPr>
                </pic:pic>
              </a:graphicData>
            </a:graphic>
          </wp:inline>
        </w:drawing>
      </w:r>
    </w:p>
    <w:p>
      <w:pPr>
        <w:pStyle w:val="5"/>
        <w:tabs>
          <w:tab w:val="left" w:pos="840"/>
        </w:tabs>
        <w:jc w:val="center"/>
        <w:rPr>
          <w:rFonts w:hint="eastAsia" w:ascii="黑体" w:hAnsi="黑体"/>
          <w:sz w:val="21"/>
          <w:szCs w:val="21"/>
        </w:rPr>
      </w:pPr>
      <w:r>
        <w:rPr>
          <w:rFonts w:ascii="黑体" w:hAnsi="黑体"/>
          <w:sz w:val="21"/>
          <w:szCs w:val="21"/>
        </w:rPr>
        <w:t>图</w:t>
      </w:r>
      <w:r>
        <w:rPr>
          <w:rFonts w:hint="eastAsia" w:ascii="黑体" w:hAnsi="黑体"/>
          <w:sz w:val="21"/>
          <w:szCs w:val="21"/>
        </w:rPr>
        <w:t>5  身份认证与加密传输</w:t>
      </w: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rPr>
          <w:rFonts w:hint="eastAsia" w:ascii="黑体" w:hAnsi="黑体"/>
          <w:sz w:val="21"/>
          <w:szCs w:val="21"/>
        </w:rPr>
      </w:pPr>
    </w:p>
    <w:p>
      <w:pPr>
        <w:pStyle w:val="41"/>
        <w:tabs>
          <w:tab w:val="left" w:pos="360"/>
        </w:tabs>
        <w:rPr>
          <w:szCs w:val="21"/>
        </w:rPr>
      </w:pPr>
      <w:r>
        <w:br w:type="textWrapping"/>
      </w:r>
      <w:bookmarkStart w:id="267" w:name="_Toc531251758"/>
      <w:bookmarkStart w:id="268" w:name="_Toc522570850"/>
      <w:bookmarkStart w:id="269" w:name="_Toc524708297"/>
      <w:bookmarkStart w:id="270" w:name="_Toc531251544"/>
      <w:bookmarkStart w:id="271" w:name="_Toc531263141"/>
      <w:bookmarkStart w:id="272" w:name="_Toc530411556"/>
      <w:bookmarkStart w:id="273" w:name="_Toc527563916"/>
      <w:bookmarkStart w:id="274" w:name="_Toc530477299"/>
      <w:bookmarkStart w:id="275" w:name="_Toc530383700"/>
      <w:bookmarkStart w:id="276" w:name="_Toc527563385"/>
      <w:bookmarkStart w:id="277" w:name="_Toc531716395"/>
      <w:bookmarkStart w:id="278" w:name="_Toc530412440"/>
      <w:bookmarkStart w:id="279" w:name="_Toc530477425"/>
      <w:bookmarkStart w:id="280" w:name="_Toc52373542"/>
      <w:bookmarkStart w:id="281" w:name="_Toc524963277"/>
      <w:bookmarkStart w:id="282" w:name="_Toc522570674"/>
      <w:bookmarkStart w:id="283" w:name="_Toc531724644"/>
      <w:bookmarkStart w:id="284" w:name="_Toc57293277"/>
      <w:bookmarkStart w:id="285" w:name="_Toc524963168"/>
      <w:r>
        <w:rPr>
          <w:rFonts w:hint="eastAsia"/>
        </w:rPr>
        <w:t>（资料性附录）</w:t>
      </w:r>
      <w:r>
        <w:br w:type="textWrapping"/>
      </w:r>
      <w:r>
        <w:rPr>
          <w:rFonts w:hint="eastAsia"/>
        </w:rPr>
        <w:t>扩展功能</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pStyle w:val="29"/>
        <w:wordWrap/>
        <w:spacing w:before="312" w:after="312"/>
      </w:pPr>
      <w:bookmarkStart w:id="286" w:name="_Toc52373543"/>
      <w:bookmarkStart w:id="287" w:name="_Toc52373950"/>
      <w:bookmarkStart w:id="288" w:name="_Toc57293142"/>
      <w:bookmarkStart w:id="289" w:name="_Toc57293278"/>
      <w:bookmarkStart w:id="290" w:name="_Toc47355908"/>
      <w:r>
        <w:rPr>
          <w:rFonts w:hint="eastAsia"/>
        </w:rPr>
        <w:t>基础类支撑功能</w:t>
      </w:r>
      <w:bookmarkEnd w:id="286"/>
      <w:bookmarkEnd w:id="287"/>
      <w:bookmarkEnd w:id="288"/>
      <w:bookmarkEnd w:id="289"/>
      <w:bookmarkEnd w:id="290"/>
    </w:p>
    <w:p>
      <w:pPr>
        <w:pStyle w:val="28"/>
        <w:wordWrap/>
        <w:spacing w:before="156" w:after="156"/>
      </w:pPr>
      <w:bookmarkStart w:id="291" w:name="_Toc52373951"/>
      <w:r>
        <w:rPr>
          <w:rFonts w:hint="eastAsia"/>
        </w:rPr>
        <w:t>支付中心</w:t>
      </w:r>
      <w:bookmarkEnd w:id="291"/>
    </w:p>
    <w:p>
      <w:pPr>
        <w:pStyle w:val="30"/>
        <w:rPr>
          <w:rStyle w:val="24"/>
          <w:rFonts w:hint="default"/>
          <w:color w:val="auto"/>
          <w:sz w:val="21"/>
          <w:szCs w:val="21"/>
        </w:rPr>
      </w:pPr>
      <w:r>
        <w:rPr>
          <w:rStyle w:val="24"/>
          <w:rFonts w:hint="default"/>
          <w:color w:val="auto"/>
          <w:sz w:val="21"/>
          <w:szCs w:val="21"/>
        </w:rPr>
        <w:t>支付中心应集成收银、分账、统计报表等功能，依托第三方支付公司及清算机构为风景名胜区提供技术服务。</w:t>
      </w:r>
    </w:p>
    <w:p>
      <w:pPr>
        <w:pStyle w:val="30"/>
        <w:rPr>
          <w:rStyle w:val="24"/>
          <w:rFonts w:hint="default"/>
          <w:color w:val="auto"/>
          <w:sz w:val="21"/>
          <w:szCs w:val="21"/>
        </w:rPr>
      </w:pPr>
      <w:r>
        <w:rPr>
          <w:rStyle w:val="24"/>
          <w:rFonts w:hint="default"/>
          <w:color w:val="auto"/>
          <w:sz w:val="21"/>
          <w:szCs w:val="21"/>
        </w:rPr>
        <w:t>应覆盖人工售取票窗口、自助售取票、电商平台等售票场景，支持主流银行通道、银联云闪付等金融支付渠道；应支持主流第三方支付公司（支持支付宝、微信）等多种支付方式。</w:t>
      </w:r>
    </w:p>
    <w:p>
      <w:pPr>
        <w:pStyle w:val="30"/>
        <w:rPr>
          <w:rStyle w:val="24"/>
          <w:rFonts w:hint="default"/>
          <w:color w:val="auto"/>
          <w:sz w:val="21"/>
          <w:szCs w:val="21"/>
        </w:rPr>
      </w:pPr>
      <w:r>
        <w:rPr>
          <w:rStyle w:val="24"/>
          <w:rFonts w:hint="default"/>
          <w:color w:val="auto"/>
          <w:sz w:val="21"/>
          <w:szCs w:val="21"/>
        </w:rPr>
        <w:t>应提供全渠道交易对账，支付中心与渠道每日进行对账，并提供对账单下载接口，业务方一次接入可下载各种渠道的对账单。</w:t>
      </w:r>
    </w:p>
    <w:p>
      <w:pPr>
        <w:pStyle w:val="28"/>
        <w:wordWrap/>
        <w:spacing w:before="156" w:after="156"/>
      </w:pPr>
      <w:bookmarkStart w:id="292" w:name="_Toc52373952"/>
      <w:r>
        <w:rPr>
          <w:rFonts w:hint="eastAsia"/>
        </w:rPr>
        <w:t>电子发票</w:t>
      </w:r>
      <w:bookmarkEnd w:id="292"/>
    </w:p>
    <w:p>
      <w:pPr>
        <w:pStyle w:val="48"/>
        <w:wordWrap/>
        <w:spacing w:before="156" w:after="156"/>
        <w:rPr>
          <w:rStyle w:val="24"/>
          <w:rFonts w:hint="default" w:ascii="黑体" w:hAnsi="黑体" w:eastAsia="黑体"/>
          <w:color w:val="auto"/>
          <w:sz w:val="21"/>
          <w:szCs w:val="21"/>
          <w:lang w:eastAsia="en-US"/>
        </w:rPr>
      </w:pPr>
      <w:r>
        <w:rPr>
          <w:rStyle w:val="24"/>
          <w:rFonts w:hint="default" w:ascii="黑体" w:hAnsi="黑体" w:eastAsia="黑体"/>
          <w:color w:val="auto"/>
          <w:sz w:val="21"/>
          <w:szCs w:val="21"/>
        </w:rPr>
        <w:t>管理后台</w:t>
      </w:r>
    </w:p>
    <w:p>
      <w:pPr>
        <w:ind w:firstLine="420"/>
        <w:rPr>
          <w:rStyle w:val="24"/>
          <w:rFonts w:hint="default"/>
          <w:color w:val="auto"/>
          <w:sz w:val="21"/>
          <w:szCs w:val="21"/>
        </w:rPr>
      </w:pPr>
      <w:r>
        <w:rPr>
          <w:rStyle w:val="24"/>
          <w:rFonts w:hint="default"/>
          <w:color w:val="auto"/>
          <w:sz w:val="21"/>
          <w:szCs w:val="21"/>
        </w:rPr>
        <w:t>应支持新增、修改删除纳税识别参数；</w:t>
      </w:r>
    </w:p>
    <w:p>
      <w:pPr>
        <w:pStyle w:val="30"/>
        <w:ind w:firstLineChars="0"/>
        <w:rPr>
          <w:szCs w:val="21"/>
        </w:rPr>
      </w:pPr>
      <w:r>
        <w:rPr>
          <w:rStyle w:val="24"/>
          <w:rFonts w:hint="default"/>
          <w:color w:val="auto"/>
          <w:sz w:val="21"/>
          <w:szCs w:val="21"/>
        </w:rPr>
        <w:t>应支持配置产品消费完成后是否开票；</w:t>
      </w:r>
    </w:p>
    <w:p>
      <w:pPr>
        <w:pStyle w:val="30"/>
        <w:ind w:firstLineChars="0"/>
        <w:rPr>
          <w:szCs w:val="21"/>
        </w:rPr>
      </w:pPr>
      <w:r>
        <w:rPr>
          <w:rStyle w:val="24"/>
          <w:rFonts w:hint="default"/>
          <w:color w:val="auto"/>
          <w:sz w:val="21"/>
          <w:szCs w:val="21"/>
        </w:rPr>
        <w:t>应支持个人/企业开具普通发票，接收方式有短信和邮箱</w:t>
      </w:r>
      <w:r>
        <w:rPr>
          <w:rStyle w:val="24"/>
          <w:rFonts w:hint="eastAsia"/>
          <w:color w:val="auto"/>
          <w:sz w:val="21"/>
          <w:szCs w:val="21"/>
          <w:lang w:val="en-US" w:eastAsia="zh-CN"/>
        </w:rPr>
        <w:t>等方式</w:t>
      </w:r>
      <w:r>
        <w:rPr>
          <w:rStyle w:val="24"/>
          <w:rFonts w:hint="default"/>
          <w:color w:val="auto"/>
          <w:sz w:val="21"/>
          <w:szCs w:val="21"/>
        </w:rPr>
        <w:t>；</w:t>
      </w:r>
    </w:p>
    <w:p>
      <w:pPr>
        <w:pStyle w:val="30"/>
        <w:ind w:firstLineChars="0"/>
        <w:rPr>
          <w:rStyle w:val="24"/>
          <w:rFonts w:hint="default"/>
          <w:color w:val="auto"/>
          <w:sz w:val="21"/>
          <w:szCs w:val="21"/>
        </w:rPr>
      </w:pPr>
      <w:r>
        <w:rPr>
          <w:rStyle w:val="24"/>
          <w:rFonts w:hint="default"/>
          <w:color w:val="auto"/>
          <w:sz w:val="21"/>
          <w:szCs w:val="21"/>
        </w:rPr>
        <w:t>应支持订单明细全部核销完成才可开票；</w:t>
      </w:r>
    </w:p>
    <w:p>
      <w:pPr>
        <w:pStyle w:val="30"/>
        <w:ind w:firstLineChars="0"/>
        <w:rPr>
          <w:rStyle w:val="24"/>
          <w:rFonts w:hint="default"/>
          <w:color w:val="auto"/>
          <w:sz w:val="21"/>
          <w:szCs w:val="21"/>
        </w:rPr>
      </w:pPr>
      <w:r>
        <w:rPr>
          <w:rStyle w:val="24"/>
          <w:rFonts w:hint="default"/>
          <w:color w:val="auto"/>
          <w:sz w:val="21"/>
          <w:szCs w:val="21"/>
        </w:rPr>
        <w:t>应支持同一订单全部已消费金额开票，也支持部分商品开具发票，由商家自行在管理端设置不可开票产品；</w:t>
      </w:r>
    </w:p>
    <w:p>
      <w:pPr>
        <w:pStyle w:val="30"/>
        <w:ind w:firstLineChars="0"/>
        <w:rPr>
          <w:rStyle w:val="24"/>
          <w:rFonts w:hint="default"/>
          <w:color w:val="auto"/>
          <w:sz w:val="21"/>
          <w:szCs w:val="21"/>
        </w:rPr>
      </w:pPr>
      <w:r>
        <w:rPr>
          <w:rStyle w:val="24"/>
          <w:rFonts w:hint="default"/>
          <w:color w:val="auto"/>
          <w:sz w:val="21"/>
          <w:szCs w:val="21"/>
        </w:rPr>
        <w:t>应支持开票金额为用户实际支付金额；</w:t>
      </w:r>
    </w:p>
    <w:p>
      <w:pPr>
        <w:pStyle w:val="30"/>
        <w:ind w:firstLineChars="0"/>
        <w:rPr>
          <w:rStyle w:val="24"/>
          <w:rFonts w:hint="default"/>
          <w:color w:val="auto"/>
          <w:sz w:val="21"/>
          <w:szCs w:val="21"/>
        </w:rPr>
      </w:pPr>
      <w:r>
        <w:rPr>
          <w:rStyle w:val="24"/>
          <w:rFonts w:hint="default"/>
          <w:color w:val="auto"/>
          <w:sz w:val="21"/>
          <w:szCs w:val="21"/>
        </w:rPr>
        <w:t>单笔支付订单应只支持开具一种税号编码类型的发票，且不可重复开具；</w:t>
      </w:r>
    </w:p>
    <w:p>
      <w:pPr>
        <w:pStyle w:val="30"/>
        <w:ind w:firstLineChars="0"/>
        <w:rPr>
          <w:szCs w:val="21"/>
        </w:rPr>
      </w:pPr>
      <w:r>
        <w:rPr>
          <w:rStyle w:val="24"/>
          <w:rFonts w:hint="default"/>
          <w:color w:val="auto"/>
          <w:sz w:val="21"/>
          <w:szCs w:val="21"/>
        </w:rPr>
        <w:t>游客开票地址应支持二维码或者短链接方式。</w:t>
      </w:r>
    </w:p>
    <w:p>
      <w:pPr>
        <w:pStyle w:val="48"/>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服务平台</w:t>
      </w:r>
    </w:p>
    <w:p>
      <w:pPr>
        <w:pStyle w:val="30"/>
        <w:ind w:firstLine="0" w:firstLineChars="0"/>
        <w:rPr>
          <w:szCs w:val="21"/>
        </w:rPr>
      </w:pPr>
      <w:r>
        <w:rPr>
          <w:rStyle w:val="24"/>
          <w:rFonts w:hint="default"/>
          <w:color w:val="auto"/>
          <w:sz w:val="21"/>
          <w:szCs w:val="21"/>
        </w:rPr>
        <w:t xml:space="preserve">    游客开票页面应支持订单号和身份证信息查找有效订单；</w:t>
      </w:r>
    </w:p>
    <w:p>
      <w:pPr>
        <w:pStyle w:val="30"/>
        <w:ind w:firstLine="0" w:firstLineChars="0"/>
        <w:rPr>
          <w:rStyle w:val="24"/>
          <w:rFonts w:hint="default"/>
          <w:color w:val="auto"/>
          <w:sz w:val="21"/>
          <w:szCs w:val="21"/>
        </w:rPr>
      </w:pPr>
      <w:r>
        <w:rPr>
          <w:rStyle w:val="24"/>
          <w:rFonts w:hint="default"/>
          <w:color w:val="auto"/>
          <w:sz w:val="21"/>
          <w:szCs w:val="21"/>
        </w:rPr>
        <w:t xml:space="preserve">    应支持链接形式定位到具体订单详情申请开票；</w:t>
      </w:r>
    </w:p>
    <w:p>
      <w:pPr>
        <w:pStyle w:val="30"/>
        <w:rPr>
          <w:rStyle w:val="24"/>
          <w:rFonts w:hint="default"/>
          <w:color w:val="auto"/>
          <w:sz w:val="21"/>
          <w:szCs w:val="21"/>
        </w:rPr>
      </w:pPr>
      <w:r>
        <w:rPr>
          <w:rStyle w:val="24"/>
          <w:rFonts w:hint="default"/>
          <w:color w:val="auto"/>
          <w:sz w:val="21"/>
          <w:szCs w:val="21"/>
        </w:rPr>
        <w:t>应支持分销商组批量申请开票；</w:t>
      </w:r>
    </w:p>
    <w:p>
      <w:pPr>
        <w:pStyle w:val="30"/>
        <w:rPr>
          <w:szCs w:val="21"/>
        </w:rPr>
      </w:pPr>
      <w:r>
        <w:rPr>
          <w:rStyle w:val="24"/>
          <w:rFonts w:hint="default"/>
          <w:color w:val="auto"/>
          <w:sz w:val="21"/>
          <w:szCs w:val="21"/>
        </w:rPr>
        <w:t>应支持扫描二维码申请开票。</w:t>
      </w:r>
    </w:p>
    <w:p>
      <w:pPr>
        <w:pStyle w:val="28"/>
        <w:wordWrap/>
        <w:spacing w:before="156" w:after="156"/>
      </w:pPr>
      <w:bookmarkStart w:id="293" w:name="_Toc52373953"/>
      <w:r>
        <w:rPr>
          <w:rFonts w:hint="eastAsia"/>
        </w:rPr>
        <w:t>人脸识别服务应用</w:t>
      </w:r>
      <w:bookmarkEnd w:id="293"/>
    </w:p>
    <w:p>
      <w:pPr>
        <w:pStyle w:val="30"/>
        <w:ind w:firstLineChars="0"/>
        <w:rPr>
          <w:rStyle w:val="24"/>
          <w:rFonts w:hint="default"/>
          <w:color w:val="auto"/>
          <w:sz w:val="21"/>
          <w:szCs w:val="21"/>
        </w:rPr>
      </w:pPr>
      <w:r>
        <w:rPr>
          <w:rFonts w:hint="eastAsia"/>
          <w:szCs w:val="21"/>
        </w:rPr>
        <w:t>应支持</w:t>
      </w:r>
      <w:r>
        <w:rPr>
          <w:rStyle w:val="24"/>
          <w:rFonts w:hint="default"/>
          <w:color w:val="auto"/>
          <w:sz w:val="21"/>
          <w:szCs w:val="21"/>
        </w:rPr>
        <w:t>人脸识别终端1：1/1：N验证应用，如采用1：N应用的场景下，能支持N≥50万人脸库的比对应用；</w:t>
      </w:r>
    </w:p>
    <w:p>
      <w:pPr>
        <w:pStyle w:val="30"/>
        <w:ind w:firstLineChars="0"/>
        <w:rPr>
          <w:rStyle w:val="24"/>
          <w:rFonts w:hint="default"/>
          <w:color w:val="auto"/>
          <w:sz w:val="21"/>
          <w:szCs w:val="21"/>
        </w:rPr>
      </w:pPr>
      <w:r>
        <w:rPr>
          <w:rStyle w:val="24"/>
          <w:rFonts w:hint="default"/>
          <w:color w:val="auto"/>
          <w:sz w:val="21"/>
          <w:szCs w:val="21"/>
        </w:rPr>
        <w:t>应支持景区门票与旅游年卡人脸识别库的分立；</w:t>
      </w:r>
    </w:p>
    <w:p>
      <w:pPr>
        <w:pStyle w:val="30"/>
        <w:ind w:firstLineChars="0"/>
        <w:rPr>
          <w:szCs w:val="21"/>
        </w:rPr>
      </w:pPr>
      <w:r>
        <w:rPr>
          <w:rStyle w:val="24"/>
          <w:rFonts w:hint="default"/>
          <w:color w:val="auto"/>
          <w:sz w:val="21"/>
          <w:szCs w:val="21"/>
        </w:rPr>
        <w:t>为确保经营业务系统的连续性，应能同时支持人脸识别比对服务的本地化部署和云端部署。</w:t>
      </w:r>
    </w:p>
    <w:p>
      <w:pPr>
        <w:pStyle w:val="30"/>
        <w:ind w:firstLine="0" w:firstLineChars="0"/>
        <w:rPr>
          <w:szCs w:val="21"/>
        </w:rPr>
      </w:pPr>
    </w:p>
    <w:p>
      <w:pPr>
        <w:pStyle w:val="30"/>
        <w:ind w:firstLine="0" w:firstLineChars="0"/>
        <w:rPr>
          <w:szCs w:val="21"/>
        </w:rPr>
      </w:pPr>
    </w:p>
    <w:p>
      <w:pPr>
        <w:pStyle w:val="30"/>
        <w:ind w:firstLine="0" w:firstLineChars="0"/>
        <w:rPr>
          <w:szCs w:val="21"/>
        </w:rPr>
      </w:pPr>
    </w:p>
    <w:p>
      <w:pPr>
        <w:pStyle w:val="30"/>
        <w:ind w:firstLine="0" w:firstLineChars="0"/>
        <w:rPr>
          <w:szCs w:val="21"/>
        </w:rPr>
      </w:pPr>
    </w:p>
    <w:p>
      <w:pPr>
        <w:pStyle w:val="30"/>
        <w:ind w:firstLine="0" w:firstLineChars="0"/>
        <w:rPr>
          <w:szCs w:val="21"/>
        </w:rPr>
      </w:pPr>
    </w:p>
    <w:p>
      <w:pPr>
        <w:pStyle w:val="41"/>
        <w:shd w:val="clear" w:color="FFFFFF" w:fill="auto"/>
        <w:tabs>
          <w:tab w:val="left" w:pos="360"/>
        </w:tabs>
        <w:spacing w:before="4680" w:beforeLines="1500" w:after="0"/>
        <w:rPr>
          <w:rFonts w:hAnsi="黑体"/>
        </w:rPr>
      </w:pPr>
      <w:bookmarkStart w:id="294" w:name="_Toc52373544"/>
      <w:bookmarkEnd w:id="294"/>
      <w:bookmarkStart w:id="295" w:name="_Toc57293279"/>
      <w:bookmarkEnd w:id="295"/>
      <w:bookmarkStart w:id="296" w:name="_Toc24154"/>
    </w:p>
    <w:p>
      <w:pPr>
        <w:jc w:val="center"/>
        <w:rPr>
          <w:rFonts w:ascii="黑体" w:hAnsi="黑体" w:eastAsia="黑体"/>
        </w:rPr>
      </w:pPr>
      <w:r>
        <w:rPr>
          <w:rFonts w:hint="eastAsia" w:ascii="黑体" w:hAnsi="黑体" w:eastAsia="黑体"/>
        </w:rPr>
        <w:t>（资料性附录）</w:t>
      </w:r>
    </w:p>
    <w:p>
      <w:pPr>
        <w:jc w:val="center"/>
        <w:rPr>
          <w:rFonts w:ascii="黑体" w:hAnsi="黑体" w:eastAsia="黑体"/>
        </w:rPr>
      </w:pPr>
      <w:r>
        <w:rPr>
          <w:rFonts w:ascii="黑体" w:hAnsi="黑体" w:eastAsia="黑体"/>
        </w:rPr>
        <w:t>门票介质与终端要求</w:t>
      </w:r>
      <w:bookmarkEnd w:id="296"/>
    </w:p>
    <w:p>
      <w:pPr>
        <w:pStyle w:val="29"/>
        <w:wordWrap/>
        <w:spacing w:before="312" w:after="312"/>
      </w:pPr>
      <w:bookmarkStart w:id="297" w:name="_Toc52373955"/>
      <w:bookmarkStart w:id="298" w:name="_Toc52373545"/>
      <w:bookmarkStart w:id="299" w:name="_Toc30346"/>
      <w:bookmarkStart w:id="300" w:name="_Toc57293144"/>
      <w:bookmarkStart w:id="301" w:name="_Toc47355910"/>
      <w:bookmarkStart w:id="302" w:name="_Toc57293280"/>
      <w:r>
        <w:rPr>
          <w:rFonts w:hint="eastAsia"/>
        </w:rPr>
        <w:t>门票介质</w:t>
      </w:r>
      <w:bookmarkEnd w:id="297"/>
      <w:bookmarkEnd w:id="298"/>
      <w:bookmarkEnd w:id="299"/>
      <w:bookmarkEnd w:id="300"/>
      <w:bookmarkEnd w:id="301"/>
      <w:bookmarkEnd w:id="302"/>
    </w:p>
    <w:p>
      <w:pPr>
        <w:pStyle w:val="28"/>
        <w:wordWrap/>
        <w:spacing w:before="156" w:after="156"/>
      </w:pPr>
      <w:bookmarkStart w:id="303" w:name="_Toc52373956"/>
      <w:r>
        <w:t>实体</w:t>
      </w:r>
      <w:r>
        <w:rPr>
          <w:rFonts w:hint="eastAsia"/>
        </w:rPr>
        <w:t>类</w:t>
      </w:r>
      <w:r>
        <w:t>入园凭证</w:t>
      </w:r>
      <w:bookmarkEnd w:id="303"/>
    </w:p>
    <w:p>
      <w:pPr>
        <w:ind w:firstLine="420"/>
        <w:rPr>
          <w:szCs w:val="21"/>
        </w:rPr>
      </w:pPr>
      <w:r>
        <w:rPr>
          <w:szCs w:val="21"/>
        </w:rPr>
        <w:t>实体</w:t>
      </w:r>
      <w:r>
        <w:rPr>
          <w:rFonts w:hint="eastAsia"/>
          <w:szCs w:val="21"/>
        </w:rPr>
        <w:t>类</w:t>
      </w:r>
      <w:r>
        <w:rPr>
          <w:szCs w:val="21"/>
        </w:rPr>
        <w:t>入园凭证</w:t>
      </w:r>
      <w:r>
        <w:rPr>
          <w:rFonts w:hint="eastAsia"/>
          <w:szCs w:val="21"/>
        </w:rPr>
        <w:t>是指以纸质或其他类似材质为载体的实体门票，相关要求如下：</w:t>
      </w:r>
    </w:p>
    <w:p>
      <w:pPr>
        <w:pStyle w:val="40"/>
        <w:numPr>
          <w:ilvl w:val="0"/>
          <w:numId w:val="9"/>
        </w:numPr>
        <w:rPr>
          <w:szCs w:val="21"/>
        </w:rPr>
      </w:pPr>
      <w:r>
        <w:rPr>
          <w:rFonts w:hint="eastAsia"/>
          <w:szCs w:val="21"/>
        </w:rPr>
        <w:t>材质选用要求：门票票纸的材质应包括：底板材质、打印材质和其他材质。一般情况下实体门票采用铜版纸或者热敏纸作为底板，以热转印或者热敏方式进行门票信息的印刷，同时也存在使用其他特殊材质制作的门票；</w:t>
      </w:r>
    </w:p>
    <w:p>
      <w:pPr>
        <w:pStyle w:val="40"/>
        <w:numPr>
          <w:ilvl w:val="0"/>
          <w:numId w:val="9"/>
        </w:numPr>
        <w:rPr>
          <w:szCs w:val="21"/>
        </w:rPr>
      </w:pPr>
      <w:r>
        <w:rPr>
          <w:rFonts w:hint="eastAsia"/>
          <w:szCs w:val="21"/>
        </w:rPr>
        <w:t>布局内容要求：</w:t>
      </w:r>
      <w:r>
        <w:rPr>
          <w:szCs w:val="21"/>
        </w:rPr>
        <w:t>实体</w:t>
      </w:r>
      <w:r>
        <w:rPr>
          <w:rFonts w:hint="eastAsia"/>
          <w:szCs w:val="21"/>
        </w:rPr>
        <w:t>类门票除具有通行核验凭证的作用外，还具有品牌宣传、重复使用、报销、收藏等价值，因此在系统规划建设之初，应对门票进行全面的设计评估。门票设计应在满足易用性、可靠性、安全性的前提下兼顾可观赏性，整体设计风格与景区主题相符合；另外针对景区的自身特点，需酌情考虑视觉、行动以及理解能力不完善人士的使用便利；最后，应重点核查票面展示的所有内容（包括文案、图像、标识等），严格遵照国家相关法律法规制定；</w:t>
      </w:r>
    </w:p>
    <w:p>
      <w:pPr>
        <w:pStyle w:val="40"/>
        <w:numPr>
          <w:ilvl w:val="0"/>
          <w:numId w:val="9"/>
        </w:numPr>
        <w:rPr>
          <w:szCs w:val="21"/>
        </w:rPr>
      </w:pPr>
      <w:r>
        <w:rPr>
          <w:rFonts w:hint="eastAsia"/>
          <w:szCs w:val="21"/>
        </w:rPr>
        <w:t>票据门票要求：票据门票的版式应按照国家相关规范进行设计。票据门票的印制、发放（和领用）、售出以及回收等全流程需由</w:t>
      </w:r>
      <w:r>
        <w:rPr>
          <w:szCs w:val="21"/>
        </w:rPr>
        <w:t>门票系统</w:t>
      </w:r>
      <w:r>
        <w:rPr>
          <w:rFonts w:hint="eastAsia"/>
          <w:szCs w:val="21"/>
        </w:rPr>
        <w:t>全程跟踪管理，所有票据门票使用情况应与相关的财务统计数据完全吻合。为了响应国家财政等部门积极推进财政票据电子化改革的号召，切实降低景区现场日常服务压力，建议设计者宜优先考虑采用电子发票的形式来完成发票开具业务。</w:t>
      </w:r>
    </w:p>
    <w:p>
      <w:pPr>
        <w:pStyle w:val="28"/>
        <w:wordWrap/>
        <w:spacing w:before="156" w:after="156"/>
      </w:pPr>
      <w:bookmarkStart w:id="304" w:name="_Toc52373957"/>
      <w:r>
        <w:rPr>
          <w:rFonts w:hint="eastAsia"/>
        </w:rPr>
        <w:t>电子类</w:t>
      </w:r>
      <w:r>
        <w:t>入园凭证</w:t>
      </w:r>
      <w:bookmarkEnd w:id="304"/>
    </w:p>
    <w:p>
      <w:pPr>
        <w:ind w:firstLine="420"/>
      </w:pPr>
      <w:r>
        <w:rPr>
          <w:rFonts w:hint="eastAsia"/>
        </w:rPr>
        <w:t>电子类入园凭证大致可分为以下几类：</w:t>
      </w:r>
    </w:p>
    <w:p>
      <w:pPr>
        <w:pStyle w:val="40"/>
        <w:numPr>
          <w:ilvl w:val="0"/>
          <w:numId w:val="10"/>
        </w:numPr>
        <w:rPr>
          <w:szCs w:val="21"/>
        </w:rPr>
      </w:pPr>
      <w:r>
        <w:rPr>
          <w:rFonts w:hint="eastAsia"/>
          <w:szCs w:val="21"/>
        </w:rPr>
        <w:t>二维码：二维码载体应包括纸质形式和电子形式。纸质/</w:t>
      </w:r>
      <w:r>
        <w:rPr>
          <w:szCs w:val="21"/>
        </w:rPr>
        <w:t>电子</w:t>
      </w:r>
      <w:r>
        <w:rPr>
          <w:rFonts w:hint="eastAsia"/>
          <w:szCs w:val="21"/>
        </w:rPr>
        <w:t>门票上应用的二维条码应符合GB/T 27766-2011或GB/T 18284-2000的相关规定，纸质形式包括现场打印、预先印刷等；</w:t>
      </w:r>
    </w:p>
    <w:p>
      <w:pPr>
        <w:pStyle w:val="40"/>
        <w:numPr>
          <w:ilvl w:val="0"/>
          <w:numId w:val="10"/>
        </w:numPr>
        <w:rPr>
          <w:szCs w:val="21"/>
        </w:rPr>
      </w:pPr>
      <w:r>
        <w:rPr>
          <w:rFonts w:hint="eastAsia"/>
          <w:szCs w:val="21"/>
        </w:rPr>
        <w:t>RFID：</w:t>
      </w:r>
      <w:r>
        <w:rPr>
          <w:rFonts w:hint="eastAsia"/>
        </w:rPr>
        <w:t>风景名胜区门票系统中应用的RFID技术包含13.56MHz、800/900MHz、2.4GHz等频段。其中 13.56MHz 应符合</w:t>
      </w:r>
      <w:r>
        <w:t>CJ/T 166-2014</w:t>
      </w:r>
      <w:r>
        <w:rPr>
          <w:rFonts w:hint="eastAsia"/>
        </w:rPr>
        <w:t>的相关规定，800/900MHz空中接口协议应符合GB/T 29768-2013的相关规定，2.45GHz空中接口协议应符合GB/T 28925-2012的相关规定RFID载体包含M1卡、CPU卡、居民身份证</w:t>
      </w:r>
      <w:r>
        <w:rPr>
          <w:rFonts w:hint="eastAsia"/>
          <w:szCs w:val="21"/>
        </w:rPr>
        <w:t>。</w:t>
      </w:r>
      <w:r>
        <w:rPr>
          <w:rFonts w:hint="eastAsia"/>
        </w:rPr>
        <w:t>CPU卡应用应符合</w:t>
      </w:r>
      <w:r>
        <w:t>CJ/T 166-2014</w:t>
      </w:r>
      <w:r>
        <w:rPr>
          <w:rFonts w:hint="eastAsia"/>
        </w:rPr>
        <w:t>中的相关规定，应用形式包含城市市民卡发行的旅游年卡等。居民身份证应用应符合ISO/IEC 14443中 Type B的相关规定和GA 490-2013的相关规定，应用形式包含基于居民身份证作为风景名胜区景区年卡应用、文化和旅游管理行政单位牵头发行城市旅游年卡应用、互联网订单验证取票/验证入园应用等；</w:t>
      </w:r>
    </w:p>
    <w:p>
      <w:pPr>
        <w:pStyle w:val="40"/>
        <w:numPr>
          <w:ilvl w:val="0"/>
          <w:numId w:val="10"/>
        </w:numPr>
        <w:rPr>
          <w:szCs w:val="21"/>
        </w:rPr>
      </w:pPr>
      <w:r>
        <w:rPr>
          <w:rFonts w:hint="eastAsia"/>
        </w:rPr>
        <w:t>生物体征识别：风景名胜区门票系统中通常运用的生物体征识别类门票主要是指纹和人像识别。</w:t>
      </w:r>
      <w:r>
        <w:t>指纹识别</w:t>
      </w:r>
      <w:r>
        <w:rPr>
          <w:rFonts w:hint="eastAsia"/>
        </w:rPr>
        <w:t>应符合</w:t>
      </w:r>
      <w:r>
        <w:t>GB/T 38122-2019</w:t>
      </w:r>
      <w:r>
        <w:rPr>
          <w:rFonts w:hint="eastAsia"/>
        </w:rPr>
        <w:t>、</w:t>
      </w:r>
      <w:r>
        <w:t>SJ/T 11607-2016</w:t>
      </w:r>
      <w:r>
        <w:rPr>
          <w:rFonts w:hint="eastAsia"/>
        </w:rPr>
        <w:t>的相关规定，人像识别应符合GB</w:t>
      </w:r>
      <w:r>
        <w:t>/</w:t>
      </w:r>
      <w:r>
        <w:rPr>
          <w:rFonts w:hint="eastAsia"/>
        </w:rPr>
        <w:t>T 35678-2017的要求。</w:t>
      </w:r>
    </w:p>
    <w:p>
      <w:pPr>
        <w:pStyle w:val="37"/>
        <w:keepNext/>
        <w:keepLines/>
        <w:numPr>
          <w:ilvl w:val="0"/>
          <w:numId w:val="11"/>
        </w:numPr>
        <w:spacing w:before="280" w:after="290"/>
        <w:ind w:left="4260" w:firstLineChars="0"/>
        <w:outlineLvl w:val="3"/>
        <w:rPr>
          <w:rFonts w:ascii="Calibri Light" w:hAnsi="Calibri Light"/>
          <w:b/>
          <w:bCs/>
          <w:vanish/>
          <w:sz w:val="28"/>
          <w:szCs w:val="28"/>
        </w:rPr>
      </w:pPr>
    </w:p>
    <w:p>
      <w:pPr>
        <w:pStyle w:val="37"/>
        <w:keepNext/>
        <w:keepLines/>
        <w:numPr>
          <w:ilvl w:val="0"/>
          <w:numId w:val="11"/>
        </w:numPr>
        <w:spacing w:before="280" w:after="290"/>
        <w:ind w:left="4260" w:firstLineChars="0"/>
        <w:outlineLvl w:val="3"/>
        <w:rPr>
          <w:rFonts w:ascii="Calibri Light" w:hAnsi="Calibri Light"/>
          <w:b/>
          <w:bCs/>
          <w:vanish/>
          <w:sz w:val="28"/>
          <w:szCs w:val="28"/>
        </w:rPr>
      </w:pPr>
    </w:p>
    <w:p>
      <w:pPr>
        <w:pStyle w:val="37"/>
        <w:keepNext/>
        <w:keepLines/>
        <w:numPr>
          <w:ilvl w:val="0"/>
          <w:numId w:val="11"/>
        </w:numPr>
        <w:spacing w:before="280" w:after="290"/>
        <w:ind w:left="4260" w:firstLineChars="0"/>
        <w:outlineLvl w:val="3"/>
        <w:rPr>
          <w:rFonts w:ascii="Calibri Light" w:hAnsi="Calibri Light"/>
          <w:b/>
          <w:bCs/>
          <w:vanish/>
          <w:sz w:val="28"/>
          <w:szCs w:val="28"/>
        </w:rPr>
      </w:pPr>
    </w:p>
    <w:p>
      <w:pPr>
        <w:pStyle w:val="37"/>
        <w:keepNext/>
        <w:keepLines/>
        <w:numPr>
          <w:ilvl w:val="0"/>
          <w:numId w:val="11"/>
        </w:numPr>
        <w:spacing w:before="280" w:after="290"/>
        <w:ind w:left="4260" w:firstLineChars="0"/>
        <w:outlineLvl w:val="3"/>
        <w:rPr>
          <w:rFonts w:ascii="Calibri Light" w:hAnsi="Calibri Light"/>
          <w:b/>
          <w:bCs/>
          <w:vanish/>
          <w:sz w:val="28"/>
          <w:szCs w:val="28"/>
        </w:rPr>
      </w:pPr>
    </w:p>
    <w:p>
      <w:pPr>
        <w:pStyle w:val="37"/>
        <w:keepNext/>
        <w:keepLines/>
        <w:numPr>
          <w:ilvl w:val="0"/>
          <w:numId w:val="11"/>
        </w:numPr>
        <w:spacing w:before="280" w:after="290"/>
        <w:ind w:left="4260" w:firstLineChars="0"/>
        <w:outlineLvl w:val="3"/>
        <w:rPr>
          <w:rFonts w:ascii="Calibri Light" w:hAnsi="Calibri Light"/>
          <w:b/>
          <w:bCs/>
          <w:vanish/>
          <w:sz w:val="28"/>
          <w:szCs w:val="28"/>
        </w:rPr>
      </w:pPr>
    </w:p>
    <w:p>
      <w:pPr>
        <w:pStyle w:val="37"/>
        <w:keepNext/>
        <w:keepLines/>
        <w:numPr>
          <w:ilvl w:val="1"/>
          <w:numId w:val="11"/>
        </w:numPr>
        <w:spacing w:before="280" w:after="290"/>
        <w:ind w:left="4260" w:firstLineChars="0"/>
        <w:outlineLvl w:val="3"/>
        <w:rPr>
          <w:rFonts w:ascii="Calibri Light" w:hAnsi="Calibri Light"/>
          <w:b/>
          <w:bCs/>
          <w:vanish/>
          <w:sz w:val="28"/>
          <w:szCs w:val="28"/>
        </w:rPr>
      </w:pPr>
    </w:p>
    <w:p>
      <w:pPr>
        <w:pStyle w:val="37"/>
        <w:keepNext/>
        <w:keepLines/>
        <w:numPr>
          <w:ilvl w:val="1"/>
          <w:numId w:val="11"/>
        </w:numPr>
        <w:spacing w:before="280" w:after="290"/>
        <w:ind w:left="4260" w:firstLineChars="0"/>
        <w:outlineLvl w:val="3"/>
        <w:rPr>
          <w:rFonts w:ascii="Calibri Light" w:hAnsi="Calibri Light"/>
          <w:b/>
          <w:bCs/>
          <w:vanish/>
          <w:sz w:val="28"/>
          <w:szCs w:val="28"/>
        </w:rPr>
      </w:pPr>
    </w:p>
    <w:p>
      <w:pPr>
        <w:pStyle w:val="37"/>
        <w:keepNext/>
        <w:keepLines/>
        <w:numPr>
          <w:ilvl w:val="1"/>
          <w:numId w:val="11"/>
        </w:numPr>
        <w:spacing w:before="280" w:after="290"/>
        <w:ind w:left="4260" w:firstLineChars="0"/>
        <w:outlineLvl w:val="3"/>
        <w:rPr>
          <w:rFonts w:ascii="Calibri Light" w:hAnsi="Calibri Light"/>
          <w:b/>
          <w:bCs/>
          <w:vanish/>
          <w:sz w:val="28"/>
          <w:szCs w:val="28"/>
        </w:rPr>
      </w:pPr>
    </w:p>
    <w:p>
      <w:pPr>
        <w:pStyle w:val="37"/>
        <w:keepNext/>
        <w:keepLines/>
        <w:numPr>
          <w:ilvl w:val="2"/>
          <w:numId w:val="11"/>
        </w:numPr>
        <w:spacing w:before="280" w:after="290"/>
        <w:ind w:left="4260" w:firstLineChars="0"/>
        <w:outlineLvl w:val="3"/>
        <w:rPr>
          <w:rFonts w:ascii="Calibri Light" w:hAnsi="Calibri Light"/>
          <w:b/>
          <w:bCs/>
          <w:vanish/>
          <w:sz w:val="28"/>
          <w:szCs w:val="28"/>
        </w:rPr>
      </w:pPr>
    </w:p>
    <w:p>
      <w:pPr>
        <w:pStyle w:val="29"/>
        <w:wordWrap/>
        <w:spacing w:before="312" w:after="312"/>
      </w:pPr>
      <w:bookmarkStart w:id="305" w:name="_Toc52373958"/>
      <w:bookmarkStart w:id="306" w:name="_Toc47355911"/>
      <w:bookmarkStart w:id="307" w:name="_Toc57293145"/>
      <w:bookmarkStart w:id="308" w:name="_Toc57293281"/>
      <w:bookmarkStart w:id="309" w:name="_Toc31523"/>
      <w:bookmarkStart w:id="310" w:name="_Toc52373546"/>
      <w:r>
        <w:rPr>
          <w:rFonts w:hint="eastAsia"/>
        </w:rPr>
        <w:t>终端</w:t>
      </w:r>
      <w:bookmarkEnd w:id="305"/>
      <w:bookmarkEnd w:id="306"/>
      <w:bookmarkEnd w:id="307"/>
      <w:bookmarkEnd w:id="308"/>
      <w:bookmarkEnd w:id="309"/>
      <w:bookmarkEnd w:id="310"/>
    </w:p>
    <w:p>
      <w:pPr>
        <w:pStyle w:val="28"/>
        <w:wordWrap/>
        <w:spacing w:before="156" w:after="156"/>
      </w:pPr>
      <w:bookmarkStart w:id="311" w:name="_Toc52373959"/>
      <w:r>
        <w:rPr>
          <w:rFonts w:hint="eastAsia"/>
        </w:rPr>
        <w:t>售票终端</w:t>
      </w:r>
      <w:bookmarkEnd w:id="311"/>
    </w:p>
    <w:p>
      <w:pPr>
        <w:pStyle w:val="48"/>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人工售取票</w:t>
      </w:r>
    </w:p>
    <w:p>
      <w:pPr>
        <w:ind w:firstLine="420"/>
        <w:rPr>
          <w:rFonts w:ascii="宋体" w:hAnsi="宋体"/>
          <w:kern w:val="0"/>
          <w:sz w:val="10"/>
          <w:szCs w:val="10"/>
        </w:rPr>
      </w:pPr>
      <w:r>
        <w:rPr>
          <w:rFonts w:hint="eastAsia"/>
        </w:rPr>
        <w:t>人工售取票终端设备应包含主控设备、出票设备、身份证读卡设备、支付设备、人像采集设备。出票设备可选用打印方式制作景区门票。人工售票客户端应该具备高可扩展性，支持辅助身份证读卡设备、支付设备、人像采集设备的集成。</w:t>
      </w:r>
    </w:p>
    <w:p>
      <w:pPr>
        <w:pStyle w:val="48"/>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自助售取票</w:t>
      </w:r>
    </w:p>
    <w:p>
      <w:pPr>
        <w:ind w:firstLine="420"/>
      </w:pPr>
      <w:r>
        <w:rPr>
          <w:rFonts w:hint="eastAsia"/>
        </w:rPr>
        <w:t>自助售取票终端设备应包含主控模块、顾客显示模块、支付模块、验证模块、出票模块。显示模块应支持选购门票信息的显示。应至少支持微信、支付宝</w:t>
      </w:r>
      <w:r>
        <w:t>等支付方式</w:t>
      </w:r>
      <w:r>
        <w:rPr>
          <w:rFonts w:hint="eastAsia"/>
        </w:rPr>
        <w:t>进行支付。出票模块可选用打印方式、制卡方式、人像激活方式制作景区门票。设备性能及安装规范要求如下：</w:t>
      </w:r>
    </w:p>
    <w:p>
      <w:pPr>
        <w:pStyle w:val="40"/>
        <w:numPr>
          <w:ilvl w:val="0"/>
          <w:numId w:val="12"/>
        </w:numPr>
        <w:rPr>
          <w:rFonts w:hAnsi="宋体"/>
          <w:szCs w:val="21"/>
        </w:rPr>
      </w:pPr>
      <w:r>
        <w:rPr>
          <w:rFonts w:hint="eastAsia" w:hAnsi="宋体"/>
          <w:szCs w:val="21"/>
        </w:rPr>
        <w:t>性能要求：</w:t>
      </w:r>
      <w:r>
        <w:rPr>
          <w:rFonts w:hint="eastAsia" w:hAnsi="宋体"/>
        </w:rPr>
        <w:t>低功耗全高清液晶显示屏，可播放广吿视频等信息</w:t>
      </w:r>
      <w:r>
        <w:rPr>
          <w:rFonts w:hint="eastAsia" w:hAnsi="宋体"/>
          <w:szCs w:val="21"/>
        </w:rPr>
        <w:t>。</w:t>
      </w:r>
      <w:r>
        <w:rPr>
          <w:rFonts w:hint="eastAsia" w:hAnsi="宋体"/>
        </w:rPr>
        <w:t>触摸显示屏需防刮、防尘、防水</w:t>
      </w:r>
      <w:r>
        <w:rPr>
          <w:rFonts w:hint="eastAsia" w:hAnsi="宋体"/>
          <w:lang w:eastAsia="zh-CN"/>
        </w:rPr>
        <w:t>。</w:t>
      </w:r>
      <w:r>
        <w:rPr>
          <w:rFonts w:hint="eastAsia" w:hAnsi="宋体"/>
        </w:rPr>
        <w:t>主机键盘、触摸反应时间≤20ms、透光率≥80%。单点触摸键使用寿命大于或等于3500万次</w:t>
      </w:r>
      <w:r>
        <w:rPr>
          <w:rFonts w:hint="eastAsia" w:hAnsi="宋体"/>
          <w:lang w:eastAsia="zh-CN"/>
        </w:rPr>
        <w:t>（</w:t>
      </w:r>
      <w:r>
        <w:rPr>
          <w:rFonts w:hint="eastAsia" w:hAnsi="宋体"/>
        </w:rPr>
        <w:t>正常情况下使用）。</w:t>
      </w:r>
      <w:r>
        <w:rPr>
          <w:rFonts w:hint="eastAsia"/>
        </w:rPr>
        <w:t>自助售取票终端设备</w:t>
      </w:r>
      <w:r>
        <w:rPr>
          <w:rFonts w:hint="eastAsia" w:hAnsi="宋体"/>
        </w:rPr>
        <w:t>工控主机需7×24小时超稳定。</w:t>
      </w:r>
      <w:r>
        <w:rPr>
          <w:rFonts w:hAnsi="宋体"/>
        </w:rPr>
        <w:t>售票出一张门票的速度</w:t>
      </w:r>
      <w:r>
        <w:rPr>
          <w:rFonts w:hAnsi="宋体" w:cs="Helvetica Neue"/>
        </w:rPr>
        <w:t>不大于3</w:t>
      </w:r>
      <w:r>
        <w:rPr>
          <w:rFonts w:hAnsi="宋体"/>
        </w:rPr>
        <w:t>秒；移动支付时间</w:t>
      </w:r>
      <w:r>
        <w:rPr>
          <w:rFonts w:hAnsi="宋体" w:cs="Helvetica Neue"/>
        </w:rPr>
        <w:t>不大于3</w:t>
      </w:r>
      <w:r>
        <w:rPr>
          <w:rFonts w:hAnsi="宋体"/>
        </w:rPr>
        <w:t>秒</w:t>
      </w:r>
      <w:r>
        <w:rPr>
          <w:rFonts w:hint="eastAsia" w:hAnsi="宋体"/>
        </w:rPr>
        <w:t>；</w:t>
      </w:r>
    </w:p>
    <w:p>
      <w:pPr>
        <w:pStyle w:val="40"/>
        <w:numPr>
          <w:ilvl w:val="0"/>
          <w:numId w:val="12"/>
        </w:numPr>
        <w:rPr>
          <w:szCs w:val="21"/>
        </w:rPr>
      </w:pPr>
      <w:r>
        <w:rPr>
          <w:rFonts w:hint="eastAsia"/>
        </w:rPr>
        <w:t>安装规范要求：自助售取票终端设备应在电压AC187V～253V的条件下正常工作</w:t>
      </w:r>
      <w:r>
        <w:t>，</w:t>
      </w:r>
      <w:r>
        <w:rPr>
          <w:rFonts w:hAnsi="宋体"/>
          <w:spacing w:val="-6"/>
          <w:sz w:val="20"/>
        </w:rPr>
        <w:t>U</w:t>
      </w:r>
      <w:r>
        <w:rPr>
          <w:rFonts w:hAnsi="宋体"/>
          <w:spacing w:val="-6"/>
          <w:sz w:val="16"/>
          <w:szCs w:val="16"/>
        </w:rPr>
        <w:t>nom</w:t>
      </w:r>
      <w:r>
        <w:rPr>
          <w:rFonts w:hint="eastAsia" w:hAnsi="宋体"/>
          <w:spacing w:val="-6"/>
          <w:sz w:val="20"/>
          <w:vertAlign w:val="superscript"/>
        </w:rPr>
        <w:t>a</w:t>
      </w:r>
      <w:r>
        <w:rPr>
          <w:rFonts w:hAnsi="宋体"/>
          <w:spacing w:val="-6"/>
          <w:sz w:val="20"/>
        </w:rPr>
        <w:t xml:space="preserve"> </w:t>
      </w:r>
      <w:r>
        <w:rPr>
          <w:rFonts w:ascii="Calibri" w:hAnsi="Calibri"/>
          <w:kern w:val="2"/>
          <w:szCs w:val="24"/>
        </w:rPr>
        <w:t xml:space="preserve">－15% </w:t>
      </w:r>
      <w:r>
        <w:rPr>
          <w:rFonts w:ascii="Calibri" w:hAnsi="Calibri"/>
          <w:kern w:val="2"/>
          <w:szCs w:val="24"/>
          <w:lang w:bidi="ar"/>
        </w:rPr>
        <w:t>≤</w:t>
      </w:r>
      <w:r>
        <w:rPr>
          <w:rFonts w:ascii="Calibri" w:hAnsi="Calibri"/>
          <w:kern w:val="2"/>
          <w:szCs w:val="24"/>
        </w:rPr>
        <w:t>电源电压适应范围</w:t>
      </w:r>
      <w:r>
        <w:rPr>
          <w:rFonts w:ascii="Calibri" w:hAnsi="Calibri"/>
          <w:kern w:val="2"/>
          <w:szCs w:val="24"/>
          <w:lang w:bidi="ar"/>
        </w:rPr>
        <w:t>≤</w:t>
      </w:r>
      <w:r>
        <w:rPr>
          <w:rFonts w:hAnsi="宋体"/>
          <w:spacing w:val="-6"/>
          <w:sz w:val="20"/>
        </w:rPr>
        <w:t>U</w:t>
      </w:r>
      <w:r>
        <w:rPr>
          <w:rFonts w:hAnsi="宋体"/>
          <w:spacing w:val="-6"/>
          <w:sz w:val="16"/>
          <w:szCs w:val="16"/>
        </w:rPr>
        <w:t>nom</w:t>
      </w:r>
      <w:r>
        <w:rPr>
          <w:rFonts w:hint="eastAsia" w:hAnsi="宋体"/>
          <w:spacing w:val="-6"/>
          <w:sz w:val="20"/>
          <w:vertAlign w:val="superscript"/>
        </w:rPr>
        <w:t>a</w:t>
      </w:r>
      <w:r>
        <w:rPr>
          <w:rFonts w:hAnsi="宋体"/>
          <w:spacing w:val="-6"/>
          <w:sz w:val="20"/>
        </w:rPr>
        <w:t xml:space="preserve"> </w:t>
      </w:r>
      <w:r>
        <w:rPr>
          <w:rFonts w:ascii="Calibri" w:hAnsi="Calibri"/>
          <w:kern w:val="2"/>
          <w:szCs w:val="24"/>
        </w:rPr>
        <w:t>＋10%</w:t>
      </w:r>
      <w:r>
        <w:rPr>
          <w:rFonts w:hint="eastAsia" w:ascii="Calibri" w:hAnsi="Calibri"/>
          <w:kern w:val="2"/>
          <w:szCs w:val="24"/>
        </w:rPr>
        <w:t>。</w:t>
      </w:r>
      <w:r>
        <w:rPr>
          <w:rFonts w:hint="eastAsia"/>
        </w:rPr>
        <w:t>对于设备质量超过20kg、整体重心高于60cm的,应固定安装。产品应放在通风良好，平坦和稳定的地方，避免阳光直接照射和淋雨。</w:t>
      </w:r>
    </w:p>
    <w:p>
      <w:pPr>
        <w:pStyle w:val="28"/>
        <w:wordWrap/>
        <w:spacing w:before="156" w:after="156"/>
      </w:pPr>
      <w:bookmarkStart w:id="312" w:name="_Toc52373960"/>
      <w:r>
        <w:rPr>
          <w:rFonts w:hint="eastAsia"/>
        </w:rPr>
        <w:t>检票终端</w:t>
      </w:r>
      <w:bookmarkEnd w:id="312"/>
    </w:p>
    <w:p>
      <w:pPr>
        <w:pStyle w:val="48"/>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终端分类、组成、通道构成</w:t>
      </w:r>
    </w:p>
    <w:p>
      <w:pPr>
        <w:pStyle w:val="47"/>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分类</w:t>
      </w:r>
    </w:p>
    <w:p>
      <w:pPr>
        <w:ind w:firstLine="420"/>
      </w:pPr>
      <w:r>
        <w:rPr>
          <w:rFonts w:cs="宋体"/>
          <w:kern w:val="0"/>
        </w:rPr>
        <w:t>人行出入口</w:t>
      </w:r>
      <w:r>
        <w:rPr>
          <w:rFonts w:hint="eastAsia" w:cs="宋体"/>
          <w:kern w:val="0"/>
        </w:rPr>
        <w:t>验票</w:t>
      </w:r>
      <w:r>
        <w:rPr>
          <w:rFonts w:cs="宋体"/>
          <w:kern w:val="0"/>
        </w:rPr>
        <w:t>通道闸</w:t>
      </w:r>
      <w:r>
        <w:t>（以下简称</w:t>
      </w:r>
      <w:r>
        <w:rPr>
          <w:rFonts w:hint="eastAsia"/>
        </w:rPr>
        <w:t>检票终端</w:t>
      </w:r>
      <w:r>
        <w:t>）可分为</w:t>
      </w:r>
      <w:r>
        <w:rPr>
          <w:rFonts w:hint="eastAsia"/>
        </w:rPr>
        <w:t>劝阻级和非劝阻级</w:t>
      </w:r>
      <w:r>
        <w:rPr>
          <w:rFonts w:cs="宋体"/>
          <w:kern w:val="0"/>
        </w:rPr>
        <w:t>两种类型</w:t>
      </w:r>
      <w:r>
        <w:rPr>
          <w:rFonts w:hint="eastAsia"/>
        </w:rPr>
        <w:t>，</w:t>
      </w:r>
      <w:r>
        <w:t>典型示例参见附</w:t>
      </w:r>
      <w:r>
        <w:rPr>
          <w:rFonts w:hint="eastAsia"/>
        </w:rPr>
        <w:t>录</w:t>
      </w:r>
      <w:r>
        <w:t>B.2.2.3.1</w:t>
      </w:r>
      <w:r>
        <w:rPr>
          <w:rFonts w:hint="eastAsia"/>
        </w:rPr>
        <w:t>。</w:t>
      </w:r>
    </w:p>
    <w:p>
      <w:pPr>
        <w:ind w:firstLine="420"/>
      </w:pPr>
      <w:r>
        <w:rPr>
          <w:rFonts w:hint="eastAsia" w:cs="宋体"/>
          <w:kern w:val="0"/>
        </w:rPr>
        <w:t>劝阻级可分为棍式和门式两大类别</w:t>
      </w:r>
      <w:r>
        <w:rPr>
          <w:rFonts w:hint="eastAsia"/>
        </w:rPr>
        <w:t>，棍式闸机常见的为三棍闸，一字闸，</w:t>
      </w:r>
      <w:r>
        <w:rPr>
          <w:rFonts w:hint="eastAsia" w:cs="宋体"/>
          <w:kern w:val="0"/>
        </w:rPr>
        <w:t>十字转闸等</w:t>
      </w:r>
      <w:r>
        <w:rPr>
          <w:rFonts w:hint="eastAsia"/>
        </w:rPr>
        <w:t>；门式闸机可分为翼闸和摆闸两大类，翼闸分为转动伸缩和平移式伸缩，摆闸分为对开双摆门和单摆门。</w:t>
      </w:r>
    </w:p>
    <w:p>
      <w:pPr>
        <w:ind w:firstLine="420"/>
        <w:rPr>
          <w:rFonts w:cs="宋体"/>
          <w:kern w:val="0"/>
        </w:rPr>
      </w:pPr>
      <w:r>
        <w:rPr>
          <w:rFonts w:hint="eastAsia" w:cs="宋体"/>
          <w:kern w:val="0"/>
        </w:rPr>
        <w:t>非劝阻级验票通道，可分为固定式和手持移动式两大类，固定式包含无闸检票终端，壁挂式检票终端等，手持移动式可采用专用手持检票终端、智能手机检票终端。</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通道构成</w:t>
      </w:r>
    </w:p>
    <w:p>
      <w:pPr>
        <w:ind w:firstLine="420"/>
      </w:pPr>
      <w:r>
        <w:t>人行通道可由设备机身与设备机身之间组合构成</w:t>
      </w:r>
      <w:r>
        <w:rPr>
          <w:rFonts w:hint="eastAsia"/>
        </w:rPr>
        <w:t>，或</w:t>
      </w:r>
      <w:r>
        <w:t>由设备机身与构筑物（墙体或护栏等建筑设施）之间组合构成</w:t>
      </w:r>
      <w:r>
        <w:rPr>
          <w:rFonts w:hint="eastAsia"/>
        </w:rPr>
        <w:t>，</w:t>
      </w:r>
      <w:r>
        <w:t>参见附录</w:t>
      </w:r>
      <w:r>
        <w:rPr>
          <w:rFonts w:hint="eastAsia"/>
        </w:rPr>
        <w:t>B</w:t>
      </w:r>
      <w:r>
        <w:t>.2.2.3.2</w:t>
      </w:r>
      <w:r>
        <w:rPr>
          <w:rFonts w:hint="eastAsia"/>
        </w:rPr>
        <w:t>。</w:t>
      </w:r>
    </w:p>
    <w:p>
      <w:pPr>
        <w:pStyle w:val="48"/>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技术要求</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外观</w:t>
      </w:r>
    </w:p>
    <w:p>
      <w:pPr>
        <w:ind w:firstLine="424" w:firstLineChars="202"/>
        <w:jc w:val="left"/>
        <w:rPr>
          <w:rFonts w:ascii="宋体" w:hAnsi="宋体" w:cs="宋体"/>
          <w:kern w:val="0"/>
          <w:szCs w:val="21"/>
        </w:rPr>
      </w:pPr>
      <w:r>
        <w:rPr>
          <w:rFonts w:ascii="宋体" w:hAnsi="宋体" w:cs="宋体"/>
          <w:kern w:val="0"/>
          <w:szCs w:val="21"/>
        </w:rPr>
        <w:t>设备的外观应满足以下要求：</w:t>
      </w:r>
    </w:p>
    <w:p>
      <w:pPr>
        <w:ind w:firstLine="424" w:firstLineChars="202"/>
        <w:jc w:val="left"/>
        <w:rPr>
          <w:rFonts w:ascii="宋体" w:hAnsi="宋体" w:cs="宋体"/>
          <w:kern w:val="0"/>
          <w:szCs w:val="21"/>
        </w:rPr>
      </w:pPr>
      <w:r>
        <w:t>外表平整清洁</w:t>
      </w:r>
      <w:r>
        <w:rPr>
          <w:rFonts w:hint="eastAsia"/>
        </w:rPr>
        <w:t>，</w:t>
      </w:r>
      <w:r>
        <w:t>无毛刺</w:t>
      </w:r>
      <w:r>
        <w:rPr>
          <w:rFonts w:hint="eastAsia"/>
        </w:rPr>
        <w:t>、</w:t>
      </w:r>
      <w:r>
        <w:t>飞边</w:t>
      </w:r>
      <w:r>
        <w:rPr>
          <w:rFonts w:hint="eastAsia"/>
        </w:rPr>
        <w:t>、</w:t>
      </w:r>
      <w:r>
        <w:t>砂眼</w:t>
      </w:r>
      <w:r>
        <w:rPr>
          <w:rFonts w:hint="eastAsia"/>
        </w:rPr>
        <w:t>、气</w:t>
      </w:r>
      <w:r>
        <w:t>孔等缺陷</w:t>
      </w:r>
      <w:r>
        <w:rPr>
          <w:rFonts w:hint="eastAsia"/>
        </w:rPr>
        <w:t>，</w:t>
      </w:r>
      <w:r>
        <w:t>无擦伤</w:t>
      </w:r>
      <w:r>
        <w:rPr>
          <w:rFonts w:hint="eastAsia"/>
        </w:rPr>
        <w:t>、</w:t>
      </w:r>
      <w:r>
        <w:t>划痕</w:t>
      </w:r>
      <w:r>
        <w:rPr>
          <w:rFonts w:hint="eastAsia"/>
        </w:rPr>
        <w:t>、</w:t>
      </w:r>
      <w:r>
        <w:t>变形</w:t>
      </w:r>
      <w:r>
        <w:rPr>
          <w:rFonts w:hint="eastAsia"/>
        </w:rPr>
        <w:t>、</w:t>
      </w:r>
      <w:r>
        <w:t>破损以及生锈</w:t>
      </w:r>
      <w:r>
        <w:rPr>
          <w:rFonts w:hint="eastAsia"/>
        </w:rPr>
        <w:t>、</w:t>
      </w:r>
      <w:r>
        <w:t>腐蚀等损伤</w:t>
      </w:r>
      <w:r>
        <w:rPr>
          <w:rFonts w:hint="eastAsia"/>
        </w:rPr>
        <w:t>，</w:t>
      </w:r>
      <w:r>
        <w:t>无渗漏</w:t>
      </w:r>
      <w:r>
        <w:rPr>
          <w:rFonts w:hint="eastAsia"/>
        </w:rPr>
        <w:t>、</w:t>
      </w:r>
      <w:r>
        <w:t>析出物痕迹</w:t>
      </w:r>
      <w:r>
        <w:rPr>
          <w:rFonts w:hint="eastAsia"/>
        </w:rPr>
        <w:t>，</w:t>
      </w:r>
      <w:r>
        <w:t>无尖锐的凸起</w:t>
      </w:r>
      <w:r>
        <w:rPr>
          <w:rFonts w:hint="eastAsia"/>
        </w:rPr>
        <w:t>、</w:t>
      </w:r>
      <w:r>
        <w:t>边角或棱角</w:t>
      </w:r>
      <w:r>
        <w:rPr>
          <w:rFonts w:hint="eastAsia"/>
        </w:rPr>
        <w:t>；</w:t>
      </w:r>
    </w:p>
    <w:p>
      <w:pPr>
        <w:ind w:firstLine="424" w:firstLineChars="202"/>
        <w:jc w:val="left"/>
        <w:rPr>
          <w:rFonts w:ascii="宋体" w:hAnsi="宋体" w:cs="宋体"/>
          <w:kern w:val="0"/>
          <w:szCs w:val="21"/>
        </w:rPr>
      </w:pPr>
      <w:r>
        <w:t>透明材料的内部无明显空穴</w:t>
      </w:r>
      <w:r>
        <w:rPr>
          <w:rFonts w:hint="eastAsia"/>
        </w:rPr>
        <w:t>、</w:t>
      </w:r>
      <w:r>
        <w:t>气泡</w:t>
      </w:r>
      <w:r>
        <w:rPr>
          <w:rFonts w:hint="eastAsia"/>
        </w:rPr>
        <w:t>、</w:t>
      </w:r>
      <w:r>
        <w:t>流体线迹和夹杂的杂质</w:t>
      </w:r>
      <w:r>
        <w:rPr>
          <w:rFonts w:hint="eastAsia"/>
        </w:rPr>
        <w:t>；</w:t>
      </w:r>
    </w:p>
    <w:p>
      <w:pPr>
        <w:ind w:firstLine="424" w:firstLineChars="202"/>
        <w:jc w:val="left"/>
        <w:rPr>
          <w:rFonts w:ascii="宋体" w:hAnsi="宋体" w:cs="宋体"/>
          <w:kern w:val="0"/>
          <w:szCs w:val="21"/>
        </w:rPr>
      </w:pPr>
      <w:r>
        <w:t>镀层和涂覆层表面无修整后痕迹</w:t>
      </w:r>
      <w:r>
        <w:rPr>
          <w:rFonts w:hint="eastAsia"/>
        </w:rPr>
        <w:t>，</w:t>
      </w:r>
      <w:r>
        <w:t>无嵌入表面和附在表面上的杂质</w:t>
      </w:r>
      <w:r>
        <w:rPr>
          <w:rFonts w:hint="eastAsia"/>
        </w:rPr>
        <w:t>，</w:t>
      </w:r>
      <w:r>
        <w:t>无裂纹</w:t>
      </w:r>
      <w:r>
        <w:rPr>
          <w:rFonts w:hint="eastAsia"/>
        </w:rPr>
        <w:t>、</w:t>
      </w:r>
      <w:r>
        <w:t>起泡及表层脱</w:t>
      </w:r>
      <w:r>
        <w:rPr>
          <w:rFonts w:hint="eastAsia"/>
        </w:rPr>
        <w:t>落</w:t>
      </w:r>
      <w:r>
        <w:t>等现象</w:t>
      </w:r>
      <w:r>
        <w:rPr>
          <w:rFonts w:hint="eastAsia"/>
        </w:rPr>
        <w:t>。</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结构要求</w:t>
      </w:r>
    </w:p>
    <w:p>
      <w:pPr>
        <w:pStyle w:val="49"/>
        <w:numPr>
          <w:ilvl w:val="0"/>
          <w:numId w:val="0"/>
        </w:numPr>
        <w:ind w:left="420"/>
        <w:rPr>
          <w:rFonts w:ascii="Times New Roman" w:hAnsi="Times New Roman"/>
          <w:b w:val="0"/>
          <w:bCs w:val="0"/>
        </w:rPr>
      </w:pPr>
      <w:r>
        <w:rPr>
          <w:rFonts w:hint="eastAsia" w:ascii="Times New Roman" w:hAnsi="Times New Roman"/>
          <w:b w:val="0"/>
          <w:bCs w:val="0"/>
        </w:rPr>
        <w:t>结构要求如下：</w:t>
      </w:r>
    </w:p>
    <w:p>
      <w:pPr>
        <w:pStyle w:val="40"/>
        <w:numPr>
          <w:ilvl w:val="0"/>
          <w:numId w:val="13"/>
        </w:numPr>
        <w:rPr>
          <w:szCs w:val="21"/>
        </w:rPr>
      </w:pPr>
      <w:r>
        <w:rPr>
          <w:rFonts w:hint="eastAsia"/>
          <w:szCs w:val="21"/>
        </w:rPr>
        <w:t>设备机身：</w:t>
      </w:r>
      <w:r>
        <w:t>打开设备机身外壳应使用专用工具</w:t>
      </w:r>
      <w:r>
        <w:rPr>
          <w:rFonts w:hint="eastAsia"/>
        </w:rPr>
        <w:t>，</w:t>
      </w:r>
      <w:r>
        <w:t>机身应具备牢固安装的结构</w:t>
      </w:r>
      <w:r>
        <w:rPr>
          <w:rFonts w:hint="eastAsia"/>
        </w:rPr>
        <w:t>，</w:t>
      </w:r>
      <w:r>
        <w:t>机身外壳板材及材质可选用钢</w:t>
      </w:r>
      <w:r>
        <w:rPr>
          <w:rFonts w:hint="eastAsia"/>
        </w:rPr>
        <w:t>、</w:t>
      </w:r>
      <w:r>
        <w:t>不锈钢或其他材料</w:t>
      </w:r>
      <w:r>
        <w:rPr>
          <w:rFonts w:hint="eastAsia"/>
        </w:rPr>
        <w:t>。</w:t>
      </w:r>
      <w:r>
        <w:t>钢质板材厚度应不小</w:t>
      </w:r>
      <w:r>
        <w:rPr>
          <w:rFonts w:hint="eastAsia"/>
        </w:rPr>
        <w:t>于1.5</w:t>
      </w:r>
      <w:r>
        <w:t>mm</w:t>
      </w:r>
      <w:r>
        <w:rPr>
          <w:rFonts w:hint="eastAsia"/>
        </w:rPr>
        <w:t>。</w:t>
      </w:r>
    </w:p>
    <w:p>
      <w:pPr>
        <w:pStyle w:val="40"/>
        <w:numPr>
          <w:ilvl w:val="0"/>
          <w:numId w:val="13"/>
        </w:numPr>
        <w:rPr>
          <w:szCs w:val="21"/>
        </w:rPr>
      </w:pPr>
      <w:r>
        <w:rPr>
          <w:rFonts w:hint="eastAsia"/>
        </w:rPr>
        <w:t>拦挡部分：拦</w:t>
      </w:r>
      <w:r>
        <w:t>挡部分应采用不易破碎且不易伤人的材料或结构</w:t>
      </w:r>
      <w:r>
        <w:rPr>
          <w:rFonts w:hint="eastAsia"/>
        </w:rPr>
        <w:t>，</w:t>
      </w:r>
      <w:r>
        <w:t>拦挡部分运动应灵活</w:t>
      </w:r>
      <w:r>
        <w:rPr>
          <w:rFonts w:hint="eastAsia"/>
        </w:rPr>
        <w:t>，</w:t>
      </w:r>
      <w:r>
        <w:t>无阻滞现象</w:t>
      </w:r>
      <w:r>
        <w:rPr>
          <w:rFonts w:hint="eastAsia"/>
        </w:rPr>
        <w:t>。</w:t>
      </w:r>
    </w:p>
    <w:p>
      <w:pPr>
        <w:pStyle w:val="40"/>
        <w:numPr>
          <w:ilvl w:val="0"/>
          <w:numId w:val="13"/>
        </w:numPr>
        <w:rPr>
          <w:szCs w:val="21"/>
        </w:rPr>
      </w:pPr>
      <w:r>
        <w:rPr>
          <w:rFonts w:hint="eastAsia"/>
        </w:rPr>
        <w:t>结构尺寸：</w:t>
      </w:r>
      <w:r>
        <w:t>设备的结构尺寸要求参见附录</w:t>
      </w:r>
      <w:r>
        <w:rPr>
          <w:rFonts w:ascii="Times New Roman" w:hAnsi="Times New Roman" w:eastAsia="宋体" w:cs="Times New Roman"/>
          <w:kern w:val="2"/>
          <w:sz w:val="21"/>
          <w:szCs w:val="24"/>
          <w:lang w:val="en-US" w:eastAsia="zh-CN" w:bidi="ar-SA"/>
        </w:rPr>
        <w:t>B.2.2.3.3</w:t>
      </w:r>
      <w:r>
        <w:rPr>
          <w:rFonts w:hint="eastAsia"/>
        </w:rPr>
        <w:t>。</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功能要求</w:t>
      </w:r>
    </w:p>
    <w:p>
      <w:pPr>
        <w:pStyle w:val="40"/>
        <w:numPr>
          <w:ilvl w:val="0"/>
          <w:numId w:val="14"/>
        </w:numPr>
        <w:rPr>
          <w:szCs w:val="21"/>
        </w:rPr>
      </w:pPr>
      <w:r>
        <w:rPr>
          <w:szCs w:val="21"/>
        </w:rPr>
        <w:t>允许通行禁止通行</w:t>
      </w:r>
      <w:r>
        <w:rPr>
          <w:rFonts w:hint="eastAsia"/>
          <w:szCs w:val="21"/>
        </w:rPr>
        <w:t>：</w:t>
      </w:r>
    </w:p>
    <w:p>
      <w:pPr>
        <w:ind w:firstLine="420"/>
      </w:pPr>
      <w:r>
        <w:t>设备在接收人工操作或出入口控制系统允许通行</w:t>
      </w:r>
      <w:r>
        <w:rPr>
          <w:rFonts w:hint="eastAsia"/>
        </w:rPr>
        <w:t>/</w:t>
      </w:r>
      <w:r>
        <w:t>禁止通行的输入信号后</w:t>
      </w:r>
      <w:r>
        <w:rPr>
          <w:rFonts w:hint="eastAsia"/>
        </w:rPr>
        <w:t>，</w:t>
      </w:r>
      <w:r>
        <w:t>应进入允许通行状态</w:t>
      </w:r>
      <w:r>
        <w:rPr>
          <w:rFonts w:hint="eastAsia"/>
        </w:rPr>
        <w:t>/</w:t>
      </w:r>
      <w:r>
        <w:t>禁止通行状态</w:t>
      </w:r>
      <w:r>
        <w:rPr>
          <w:rFonts w:hint="eastAsia"/>
        </w:rPr>
        <w:t>。</w:t>
      </w:r>
    </w:p>
    <w:p>
      <w:pPr>
        <w:ind w:firstLine="420"/>
      </w:pPr>
      <w:r>
        <w:t>当设备在禁止通行状态下接收到允许通行信号</w:t>
      </w:r>
      <w:r>
        <w:rPr>
          <w:rFonts w:hint="eastAsia"/>
        </w:rPr>
        <w:t>，</w:t>
      </w:r>
      <w:r>
        <w:t>转换至允许通行状态后</w:t>
      </w:r>
      <w:r>
        <w:rPr>
          <w:rFonts w:hint="eastAsia"/>
        </w:rPr>
        <w:t>，</w:t>
      </w:r>
      <w:r>
        <w:t>在发生以下情况时应自动返回到禁止通行状态</w:t>
      </w:r>
      <w:r>
        <w:rPr>
          <w:rFonts w:hint="eastAsia"/>
        </w:rPr>
        <w:t>：</w:t>
      </w:r>
      <w:r>
        <w:t>在允许进入时间内</w:t>
      </w:r>
      <w:r>
        <w:rPr>
          <w:rFonts w:hint="eastAsia"/>
        </w:rPr>
        <w:t>，</w:t>
      </w:r>
      <w:r>
        <w:t>检测到人员已接指定方向通过通道时</w:t>
      </w:r>
      <w:r>
        <w:rPr>
          <w:rFonts w:hint="eastAsia"/>
        </w:rPr>
        <w:t>；</w:t>
      </w:r>
      <w:r>
        <w:t>超出</w:t>
      </w:r>
      <w:r>
        <w:rPr>
          <w:rFonts w:hint="eastAsia"/>
        </w:rPr>
        <w:t>等候</w:t>
      </w:r>
      <w:r>
        <w:t>时间</w:t>
      </w:r>
      <w:r>
        <w:rPr>
          <w:rFonts w:hint="eastAsia"/>
        </w:rPr>
        <w:t>，检</w:t>
      </w:r>
      <w:r>
        <w:t>测到通道拦挡部分位置无人员通行时。</w:t>
      </w:r>
    </w:p>
    <w:p>
      <w:pPr>
        <w:ind w:firstLine="420"/>
      </w:pPr>
      <w:r>
        <w:t>设备应能设置为持续处于允许通行状态</w:t>
      </w:r>
      <w:r>
        <w:rPr>
          <w:rFonts w:hint="eastAsia"/>
        </w:rPr>
        <w:t>/</w:t>
      </w:r>
      <w:r>
        <w:t>禁止通行状态</w:t>
      </w:r>
      <w:r>
        <w:rPr>
          <w:rFonts w:hint="eastAsia"/>
        </w:rPr>
        <w:t>。</w:t>
      </w:r>
    </w:p>
    <w:p>
      <w:pPr>
        <w:pStyle w:val="40"/>
        <w:numPr>
          <w:ilvl w:val="0"/>
          <w:numId w:val="14"/>
        </w:numPr>
        <w:rPr>
          <w:szCs w:val="21"/>
        </w:rPr>
      </w:pPr>
      <w:r>
        <w:rPr>
          <w:szCs w:val="21"/>
        </w:rPr>
        <w:t>应急放行</w:t>
      </w:r>
      <w:r>
        <w:rPr>
          <w:rFonts w:hint="eastAsia"/>
          <w:szCs w:val="21"/>
        </w:rPr>
        <w:t>：</w:t>
      </w:r>
    </w:p>
    <w:p>
      <w:pPr>
        <w:ind w:firstLine="420"/>
      </w:pPr>
      <w:r>
        <w:t>设备在断电或发生故障后应能处于无拦挡状态</w:t>
      </w:r>
      <w:r>
        <w:rPr>
          <w:rFonts w:hint="eastAsia"/>
        </w:rPr>
        <w:t>，自由放行，并且满足任何操作均不能恢复到拦挡状态。</w:t>
      </w:r>
    </w:p>
    <w:p>
      <w:pPr>
        <w:pStyle w:val="40"/>
        <w:numPr>
          <w:ilvl w:val="0"/>
          <w:numId w:val="14"/>
        </w:numPr>
        <w:rPr>
          <w:szCs w:val="21"/>
        </w:rPr>
      </w:pPr>
      <w:r>
        <w:rPr>
          <w:rFonts w:hint="eastAsia"/>
          <w:szCs w:val="21"/>
        </w:rPr>
        <w:t>警</w:t>
      </w:r>
      <w:r>
        <w:rPr>
          <w:szCs w:val="21"/>
        </w:rPr>
        <w:t>示</w:t>
      </w:r>
      <w:r>
        <w:rPr>
          <w:rFonts w:hint="eastAsia"/>
          <w:szCs w:val="21"/>
        </w:rPr>
        <w:t>：</w:t>
      </w:r>
    </w:p>
    <w:p>
      <w:pPr>
        <w:ind w:firstLine="420"/>
      </w:pPr>
      <w:r>
        <w:t>在发生以下情况之一时，设备应警示</w:t>
      </w:r>
      <w:r>
        <w:rPr>
          <w:rFonts w:hint="eastAsia"/>
        </w:rPr>
        <w:t>，</w:t>
      </w:r>
      <w:r>
        <w:t>设备处于警示状态时，应能设置为不接受允许通行指令：</w:t>
      </w:r>
    </w:p>
    <w:p>
      <w:pPr>
        <w:ind w:firstLine="420"/>
      </w:pPr>
      <w:r>
        <w:t>未收到允许通行信号</w:t>
      </w:r>
      <w:r>
        <w:rPr>
          <w:rFonts w:hint="eastAsia"/>
        </w:rPr>
        <w:t>，</w:t>
      </w:r>
      <w:r>
        <w:t>设备检测到人员进入通道</w:t>
      </w:r>
      <w:r>
        <w:rPr>
          <w:rFonts w:hint="eastAsia"/>
        </w:rPr>
        <w:t>；</w:t>
      </w:r>
    </w:p>
    <w:p>
      <w:pPr>
        <w:ind w:firstLine="420"/>
      </w:pPr>
      <w:r>
        <w:t>接收到允许通行信号</w:t>
      </w:r>
      <w:r>
        <w:rPr>
          <w:rFonts w:hint="eastAsia"/>
        </w:rPr>
        <w:t>，</w:t>
      </w:r>
      <w:r>
        <w:t>设备检测到人员逆向进入通道</w:t>
      </w:r>
      <w:r>
        <w:rPr>
          <w:rFonts w:hint="eastAsia"/>
        </w:rPr>
        <w:t>；</w:t>
      </w:r>
    </w:p>
    <w:p>
      <w:pPr>
        <w:ind w:firstLine="420"/>
      </w:pPr>
      <w:r>
        <w:t>设备开机自</w:t>
      </w:r>
      <w:r>
        <w:rPr>
          <w:rFonts w:hint="eastAsia"/>
        </w:rPr>
        <w:t>检</w:t>
      </w:r>
      <w:r>
        <w:t>不通过；</w:t>
      </w:r>
    </w:p>
    <w:p>
      <w:pPr>
        <w:ind w:firstLine="420"/>
      </w:pPr>
      <w:r>
        <w:t>拦挡部分运行不到位；</w:t>
      </w:r>
    </w:p>
    <w:p>
      <w:pPr>
        <w:ind w:firstLine="420"/>
      </w:pPr>
      <w:r>
        <w:t>人员通过通道的实际时间超过了设定的允许通行时间</w:t>
      </w:r>
      <w:r>
        <w:rPr>
          <w:rFonts w:hint="eastAsia"/>
        </w:rPr>
        <w:t>。</w:t>
      </w:r>
    </w:p>
    <w:p>
      <w:pPr>
        <w:pStyle w:val="40"/>
        <w:numPr>
          <w:ilvl w:val="0"/>
          <w:numId w:val="14"/>
        </w:numPr>
        <w:rPr>
          <w:szCs w:val="21"/>
        </w:rPr>
      </w:pPr>
      <w:r>
        <w:rPr>
          <w:szCs w:val="21"/>
        </w:rPr>
        <w:t>防尾随</w:t>
      </w:r>
      <w:r>
        <w:rPr>
          <w:rFonts w:hint="eastAsia"/>
          <w:szCs w:val="21"/>
        </w:rPr>
        <w:t>：</w:t>
      </w:r>
    </w:p>
    <w:p>
      <w:pPr>
        <w:ind w:firstLine="420"/>
      </w:pPr>
      <w:r>
        <w:t>设备应具备防尾随功能</w:t>
      </w:r>
      <w:r>
        <w:rPr>
          <w:rFonts w:hint="eastAsia"/>
        </w:rPr>
        <w:t>，</w:t>
      </w:r>
      <w:r>
        <w:t>具备防尾随功能的设备应对尾随事件发出警示。</w:t>
      </w:r>
    </w:p>
    <w:p>
      <w:pPr>
        <w:pStyle w:val="40"/>
        <w:numPr>
          <w:ilvl w:val="0"/>
          <w:numId w:val="14"/>
        </w:numPr>
        <w:rPr>
          <w:szCs w:val="21"/>
        </w:rPr>
      </w:pPr>
      <w:r>
        <w:rPr>
          <w:szCs w:val="21"/>
        </w:rPr>
        <w:t>视觉／</w:t>
      </w:r>
      <w:r>
        <w:rPr>
          <w:rFonts w:hint="eastAsia"/>
          <w:szCs w:val="21"/>
        </w:rPr>
        <w:t>听</w:t>
      </w:r>
      <w:r>
        <w:rPr>
          <w:szCs w:val="21"/>
        </w:rPr>
        <w:t>觉指示</w:t>
      </w:r>
      <w:r>
        <w:rPr>
          <w:rFonts w:hint="eastAsia"/>
          <w:szCs w:val="21"/>
        </w:rPr>
        <w:t>：</w:t>
      </w:r>
    </w:p>
    <w:p>
      <w:pPr>
        <w:ind w:firstLine="420"/>
      </w:pPr>
      <w:r>
        <w:t>设备应对其工作状态</w:t>
      </w:r>
      <w:r>
        <w:rPr>
          <w:rFonts w:hint="eastAsia"/>
        </w:rPr>
        <w:t>、</w:t>
      </w:r>
      <w:r>
        <w:t>操作与结果等给出不同的视觉</w:t>
      </w:r>
      <w:r>
        <w:rPr>
          <w:rFonts w:hint="eastAsia"/>
        </w:rPr>
        <w:t>/听</w:t>
      </w:r>
      <w:r>
        <w:t>觉指示</w:t>
      </w:r>
      <w:r>
        <w:rPr>
          <w:rFonts w:hint="eastAsia"/>
        </w:rPr>
        <w:t>，</w:t>
      </w:r>
      <w:r>
        <w:t>如允许通行为绿色</w:t>
      </w:r>
      <w:r>
        <w:rPr>
          <w:rFonts w:hint="eastAsia"/>
        </w:rPr>
        <w:t>，</w:t>
      </w:r>
      <w:r>
        <w:t>禁止通行</w:t>
      </w:r>
      <w:r>
        <w:rPr>
          <w:rFonts w:hint="eastAsia"/>
        </w:rPr>
        <w:t>、</w:t>
      </w:r>
      <w:r>
        <w:t>警示为红色</w:t>
      </w:r>
      <w:r>
        <w:rPr>
          <w:rFonts w:hint="eastAsia"/>
        </w:rPr>
        <w:t>；</w:t>
      </w:r>
      <w:r>
        <w:t>警示时的</w:t>
      </w:r>
      <w:r>
        <w:rPr>
          <w:rFonts w:hint="eastAsia"/>
        </w:rPr>
        <w:t>听</w:t>
      </w:r>
      <w:r>
        <w:t>觉指示应明显区别于其</w:t>
      </w:r>
      <w:r>
        <w:rPr>
          <w:rFonts w:hint="eastAsia"/>
        </w:rPr>
        <w:t>它</w:t>
      </w:r>
      <w:r>
        <w:t>指示</w:t>
      </w:r>
      <w:r>
        <w:rPr>
          <w:rFonts w:hint="eastAsia"/>
        </w:rPr>
        <w:t>。</w:t>
      </w:r>
    </w:p>
    <w:p>
      <w:pPr>
        <w:pStyle w:val="40"/>
        <w:numPr>
          <w:ilvl w:val="0"/>
          <w:numId w:val="14"/>
        </w:numPr>
        <w:rPr>
          <w:szCs w:val="21"/>
        </w:rPr>
      </w:pPr>
      <w:r>
        <w:rPr>
          <w:szCs w:val="21"/>
        </w:rPr>
        <w:t>自检</w:t>
      </w:r>
      <w:r>
        <w:rPr>
          <w:rFonts w:hint="eastAsia"/>
          <w:szCs w:val="21"/>
        </w:rPr>
        <w:t>：</w:t>
      </w:r>
    </w:p>
    <w:p>
      <w:pPr>
        <w:ind w:firstLine="420"/>
      </w:pPr>
      <w:r>
        <w:t>设备应具备控制</w:t>
      </w:r>
      <w:r>
        <w:rPr>
          <w:rFonts w:hint="eastAsia"/>
        </w:rPr>
        <w:t>、</w:t>
      </w:r>
      <w:r>
        <w:t>驱动</w:t>
      </w:r>
      <w:r>
        <w:rPr>
          <w:rFonts w:hint="eastAsia"/>
        </w:rPr>
        <w:t>、</w:t>
      </w:r>
      <w:r>
        <w:t>拦挡和视觉</w:t>
      </w:r>
      <w:r>
        <w:rPr>
          <w:rFonts w:hint="eastAsia"/>
        </w:rPr>
        <w:t>/</w:t>
      </w:r>
      <w:r>
        <w:t>听觉指示等部分的自检功能</w:t>
      </w:r>
      <w:r>
        <w:rPr>
          <w:rFonts w:hint="eastAsia"/>
        </w:rPr>
        <w:t>，</w:t>
      </w:r>
      <w:r>
        <w:t>并有相应的动作或指示</w:t>
      </w:r>
      <w:r>
        <w:rPr>
          <w:rFonts w:hint="eastAsia"/>
        </w:rPr>
        <w:t>。</w:t>
      </w:r>
    </w:p>
    <w:p>
      <w:pPr>
        <w:pStyle w:val="40"/>
        <w:numPr>
          <w:ilvl w:val="0"/>
          <w:numId w:val="14"/>
        </w:numPr>
        <w:rPr>
          <w:szCs w:val="21"/>
        </w:rPr>
      </w:pPr>
      <w:r>
        <w:rPr>
          <w:szCs w:val="21"/>
        </w:rPr>
        <w:t>恢复出厂设置</w:t>
      </w:r>
      <w:r>
        <w:rPr>
          <w:rFonts w:hint="eastAsia"/>
          <w:szCs w:val="21"/>
        </w:rPr>
        <w:t>：</w:t>
      </w:r>
    </w:p>
    <w:p>
      <w:pPr>
        <w:ind w:firstLine="420"/>
      </w:pPr>
      <w:r>
        <w:t>设备应能恢复到出厂设置的状态。</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性能要求：</w:t>
      </w:r>
    </w:p>
    <w:p>
      <w:pPr>
        <w:ind w:firstLine="420"/>
      </w:pPr>
      <w:r>
        <w:t>开启时</w:t>
      </w:r>
      <w:r>
        <w:rPr>
          <w:rFonts w:hint="eastAsia"/>
        </w:rPr>
        <w:t>：</w:t>
      </w:r>
      <w:r>
        <w:t>设备的开启时间应不大于6s</w:t>
      </w:r>
      <w:r>
        <w:rPr>
          <w:rFonts w:hint="eastAsia"/>
        </w:rPr>
        <w:t>，</w:t>
      </w:r>
      <w:r>
        <w:t>应可调。</w:t>
      </w:r>
    </w:p>
    <w:p>
      <w:pPr>
        <w:ind w:firstLine="420"/>
      </w:pPr>
      <w:r>
        <w:t>关闭时</w:t>
      </w:r>
      <w:r>
        <w:rPr>
          <w:rFonts w:hint="eastAsia"/>
        </w:rPr>
        <w:t>：</w:t>
      </w:r>
      <w:r>
        <w:t>设备的关闭时间应不大于6s，应可调。</w:t>
      </w:r>
    </w:p>
    <w:p>
      <w:pPr>
        <w:ind w:firstLine="420"/>
      </w:pPr>
      <w:r>
        <w:rPr>
          <w:rFonts w:hint="eastAsia"/>
        </w:rPr>
        <w:t>等候</w:t>
      </w:r>
      <w:r>
        <w:t>时间</w:t>
      </w:r>
      <w:r>
        <w:rPr>
          <w:rFonts w:hint="eastAsia"/>
        </w:rPr>
        <w:t>：</w:t>
      </w:r>
      <w:r>
        <w:t>设备</w:t>
      </w:r>
      <w:r>
        <w:rPr>
          <w:rFonts w:hint="eastAsia"/>
        </w:rPr>
        <w:t>等候</w:t>
      </w:r>
      <w:r>
        <w:t>时间应在2</w:t>
      </w:r>
      <w:r>
        <w:rPr>
          <w:rFonts w:hint="eastAsia"/>
        </w:rPr>
        <w:t>4</w:t>
      </w:r>
      <w:r>
        <w:t>s</w:t>
      </w:r>
      <w:r>
        <w:rPr>
          <w:rFonts w:hint="eastAsia"/>
        </w:rPr>
        <w:t>及以上至无限制时间</w:t>
      </w:r>
      <w:r>
        <w:t>范围内，</w:t>
      </w:r>
      <w:r>
        <w:rPr>
          <w:rFonts w:hint="eastAsia"/>
        </w:rPr>
        <w:t>并必须</w:t>
      </w:r>
      <w:r>
        <w:t>可调。</w:t>
      </w:r>
    </w:p>
    <w:p>
      <w:pPr>
        <w:ind w:firstLine="420"/>
      </w:pPr>
      <w:r>
        <w:t>允许通行时间</w:t>
      </w:r>
      <w:r>
        <w:rPr>
          <w:rFonts w:hint="eastAsia"/>
        </w:rPr>
        <w:t>：</w:t>
      </w:r>
      <w:r>
        <w:t>设备允许通行时间</w:t>
      </w:r>
      <w:r>
        <w:rPr>
          <w:rFonts w:hint="eastAsia"/>
        </w:rPr>
        <w:t>应</w:t>
      </w:r>
      <w:r>
        <w:t xml:space="preserve">在 </w:t>
      </w:r>
      <w:r>
        <w:rPr>
          <w:rFonts w:hint="eastAsia"/>
        </w:rPr>
        <w:t>4</w:t>
      </w:r>
      <w:r>
        <w:t>s（含）</w:t>
      </w:r>
      <w:r>
        <w:rPr>
          <w:rFonts w:hint="eastAsia"/>
        </w:rPr>
        <w:t>及以上不限制</w:t>
      </w:r>
      <w:r>
        <w:t>范围内，</w:t>
      </w:r>
      <w:r>
        <w:rPr>
          <w:rFonts w:hint="eastAsia"/>
        </w:rPr>
        <w:t>并必须</w:t>
      </w:r>
      <w:r>
        <w:t>可调。</w:t>
      </w:r>
    </w:p>
    <w:p>
      <w:pPr>
        <w:ind w:firstLine="420"/>
      </w:pPr>
      <w:r>
        <w:t>噪声限制</w:t>
      </w:r>
      <w:r>
        <w:rPr>
          <w:rFonts w:hint="eastAsia"/>
        </w:rPr>
        <w:t>：</w:t>
      </w:r>
      <w:r>
        <w:t>瞬间最大噪声声压小于 80dB</w:t>
      </w:r>
      <w:r>
        <w:rPr>
          <w:rFonts w:hint="eastAsia"/>
        </w:rPr>
        <w:t>（</w:t>
      </w:r>
      <w:r>
        <w:t>A）</w:t>
      </w:r>
      <w:r>
        <w:rPr>
          <w:rFonts w:hint="eastAsia"/>
        </w:rPr>
        <w:t>；</w:t>
      </w:r>
      <w:r>
        <w:t>持续噪声声压小于 60dB(A</w:t>
      </w:r>
      <w:r>
        <w:rPr>
          <w:rFonts w:hint="eastAsia"/>
        </w:rPr>
        <w:t>)</w:t>
      </w:r>
      <w:r>
        <w:t>。</w:t>
      </w:r>
    </w:p>
    <w:p>
      <w:pPr>
        <w:ind w:firstLine="420"/>
      </w:pPr>
      <w:r>
        <w:rPr>
          <w:rFonts w:hint="eastAsia"/>
        </w:rPr>
        <w:t>听</w:t>
      </w:r>
      <w:r>
        <w:t>觉指示声压</w:t>
      </w:r>
      <w:r>
        <w:rPr>
          <w:rFonts w:hint="eastAsia"/>
        </w:rPr>
        <w:t>：听</w:t>
      </w:r>
      <w:r>
        <w:t>觉指示声压应在 60dB</w:t>
      </w:r>
      <w:r>
        <w:rPr>
          <w:rFonts w:hint="eastAsia"/>
        </w:rPr>
        <w:t>（</w:t>
      </w:r>
      <w:r>
        <w:t>A）</w:t>
      </w:r>
      <w:r>
        <w:rPr>
          <w:rFonts w:hint="eastAsia"/>
        </w:rPr>
        <w:t>（</w:t>
      </w:r>
      <w:r>
        <w:t>含）</w:t>
      </w:r>
      <w:r>
        <w:rPr>
          <w:rFonts w:hint="eastAsia"/>
        </w:rPr>
        <w:t>～</w:t>
      </w:r>
      <w:r>
        <w:t>90dB(A</w:t>
      </w:r>
      <w:r>
        <w:rPr>
          <w:rFonts w:hint="eastAsia"/>
        </w:rPr>
        <w:t>)</w:t>
      </w:r>
      <w:r>
        <w:t>范围内，应可调。</w:t>
      </w:r>
    </w:p>
    <w:p>
      <w:pPr>
        <w:ind w:firstLine="420"/>
      </w:pPr>
      <w:r>
        <w:t>视觉指示</w:t>
      </w:r>
      <w:r>
        <w:rPr>
          <w:rFonts w:hint="eastAsia"/>
        </w:rPr>
        <w:t>：</w:t>
      </w:r>
      <w:r>
        <w:t>指示灯在设备正前方 22.5</w:t>
      </w:r>
      <w:r>
        <w:rPr>
          <w:rFonts w:hint="eastAsia"/>
        </w:rPr>
        <w:t>°</w:t>
      </w:r>
      <w:r>
        <w:t>视角内</w:t>
      </w:r>
      <w:r>
        <w:rPr>
          <w:rFonts w:hint="eastAsia"/>
        </w:rPr>
        <w:t>、</w:t>
      </w:r>
      <w:r>
        <w:t>距离设备3m处应清晰可见；显示的符号或文字在设备正前方22.5</w:t>
      </w:r>
      <w:r>
        <w:rPr>
          <w:rFonts w:hint="eastAsia"/>
        </w:rPr>
        <w:t>°</w:t>
      </w:r>
      <w:r>
        <w:t>视角内、距离设备 0.8m处应可读。</w:t>
      </w:r>
    </w:p>
    <w:p>
      <w:pPr>
        <w:ind w:firstLine="420"/>
        <w:rPr>
          <w:b/>
        </w:rPr>
      </w:pPr>
      <w:r>
        <w:t>通信控制接口</w:t>
      </w:r>
      <w:r>
        <w:rPr>
          <w:rFonts w:hint="eastAsia"/>
        </w:rPr>
        <w:t>：</w:t>
      </w:r>
      <w:r>
        <w:t>设备应具有开关量信号输入接口</w:t>
      </w:r>
      <w:r>
        <w:rPr>
          <w:rFonts w:hint="eastAsia"/>
        </w:rPr>
        <w:t>；验票</w:t>
      </w:r>
      <w:r>
        <w:t>设备可支持一种或多种通讯接口，</w:t>
      </w:r>
      <w:r>
        <w:rPr>
          <w:rFonts w:hint="eastAsia"/>
        </w:rPr>
        <w:t>可直接连接</w:t>
      </w:r>
      <w:r>
        <w:t>门票系统</w:t>
      </w:r>
      <w:r>
        <w:rPr>
          <w:rFonts w:hint="eastAsia"/>
        </w:rPr>
        <w:t>服务器，并采用TCP/</w:t>
      </w:r>
      <w:r>
        <w:t>IP</w:t>
      </w:r>
      <w:r>
        <w:rPr>
          <w:rFonts w:hint="eastAsia"/>
        </w:rPr>
        <w:t>通讯方式，设备内部可采用</w:t>
      </w:r>
      <w:r>
        <w:t>如RS485/232/422</w:t>
      </w:r>
      <w:r>
        <w:rPr>
          <w:rFonts w:hint="eastAsia"/>
        </w:rPr>
        <w:t>等方式连接</w:t>
      </w:r>
      <w:r>
        <w:t>。</w:t>
      </w:r>
      <w:r>
        <w:rPr>
          <w:rFonts w:hint="eastAsia"/>
        </w:rPr>
        <w:t>不得使用普通“门禁闸机”的模式应用于</w:t>
      </w:r>
      <w:r>
        <w:t>门票系统</w:t>
      </w:r>
      <w:r>
        <w:rPr>
          <w:rFonts w:hint="eastAsia"/>
        </w:rPr>
        <w:t>。</w:t>
      </w:r>
    </w:p>
    <w:p>
      <w:pPr>
        <w:ind w:firstLine="420"/>
      </w:pPr>
      <w:r>
        <w:t>外壳防护等级</w:t>
      </w:r>
      <w:r>
        <w:rPr>
          <w:rFonts w:hint="eastAsia"/>
        </w:rPr>
        <w:t>：</w:t>
      </w:r>
      <w:r>
        <w:t>室外设备应符合GB</w:t>
      </w:r>
      <w:r>
        <w:rPr>
          <w:rFonts w:hint="eastAsia"/>
        </w:rPr>
        <w:t>/T</w:t>
      </w:r>
      <w:r>
        <w:t xml:space="preserve"> 4208-2017中 IPX4 的要求</w:t>
      </w:r>
      <w:r>
        <w:rPr>
          <w:rFonts w:hint="eastAsia"/>
        </w:rPr>
        <w:t>。</w:t>
      </w:r>
    </w:p>
    <w:p>
      <w:pPr>
        <w:ind w:firstLine="420"/>
      </w:pPr>
      <w:r>
        <w:t>外壳对外界机械碰撞的防护等级</w:t>
      </w:r>
      <w:r>
        <w:rPr>
          <w:rFonts w:hint="eastAsia"/>
        </w:rPr>
        <w:t>：</w:t>
      </w:r>
      <w:r>
        <w:t>设备机身外壳的薄弱部分（如：人员通行检测部分</w:t>
      </w:r>
      <w:r>
        <w:rPr>
          <w:rFonts w:hint="eastAsia"/>
        </w:rPr>
        <w:t>、</w:t>
      </w:r>
      <w:r>
        <w:t>指示部分</w:t>
      </w:r>
      <w:r>
        <w:rPr>
          <w:rFonts w:hint="eastAsia"/>
        </w:rPr>
        <w:t>、</w:t>
      </w:r>
      <w:r>
        <w:t>非金属面板等）应符合 GB/T 20138-2006中 IK04 的要求</w:t>
      </w:r>
      <w:r>
        <w:rPr>
          <w:rFonts w:hint="eastAsia"/>
        </w:rPr>
        <w:t>，</w:t>
      </w:r>
      <w:r>
        <w:t>其他表面应符合 GB/T 20138-2006 中IK07 的要求</w:t>
      </w:r>
      <w:r>
        <w:rPr>
          <w:rFonts w:hint="eastAsia"/>
        </w:rPr>
        <w:t>，</w:t>
      </w:r>
      <w:r>
        <w:t>试验后</w:t>
      </w:r>
      <w:r>
        <w:rPr>
          <w:rFonts w:hint="eastAsia"/>
        </w:rPr>
        <w:t>，</w:t>
      </w:r>
      <w:r>
        <w:t>设备应无明显机械损伤和变形</w:t>
      </w:r>
      <w:r>
        <w:rPr>
          <w:rFonts w:hint="eastAsia"/>
        </w:rPr>
        <w:t>，</w:t>
      </w:r>
      <w:r>
        <w:t xml:space="preserve"> 并应能正常工作。</w:t>
      </w:r>
    </w:p>
    <w:p>
      <w:pPr>
        <w:widowControl/>
        <w:jc w:val="left"/>
        <w:rPr>
          <w:b/>
        </w:rPr>
      </w:pPr>
      <w:r>
        <w:t>电源适应性</w:t>
      </w:r>
      <w:r>
        <w:rPr>
          <w:rFonts w:hint="eastAsia"/>
        </w:rPr>
        <w:t>：</w:t>
      </w:r>
      <w:r>
        <w:t>设备应能在规定的电源电压范围内正常工作，</w:t>
      </w:r>
      <w:r>
        <w:rPr>
          <w:rFonts w:ascii="宋体" w:hAnsi="宋体"/>
          <w:spacing w:val="-6"/>
          <w:kern w:val="0"/>
          <w:sz w:val="20"/>
          <w:szCs w:val="20"/>
        </w:rPr>
        <w:t>U</w:t>
      </w:r>
      <w:r>
        <w:rPr>
          <w:rFonts w:ascii="宋体" w:hAnsi="宋体"/>
          <w:spacing w:val="-6"/>
          <w:kern w:val="0"/>
          <w:sz w:val="16"/>
          <w:szCs w:val="16"/>
        </w:rPr>
        <w:t>nom</w:t>
      </w:r>
      <w:r>
        <w:rPr>
          <w:rFonts w:hint="eastAsia" w:ascii="宋体" w:hAnsi="宋体"/>
          <w:spacing w:val="-6"/>
          <w:kern w:val="0"/>
          <w:sz w:val="20"/>
          <w:szCs w:val="20"/>
          <w:vertAlign w:val="superscript"/>
        </w:rPr>
        <w:t>a</w:t>
      </w:r>
      <w:r>
        <w:rPr>
          <w:rFonts w:ascii="宋体" w:hAnsi="宋体"/>
          <w:spacing w:val="-6"/>
          <w:kern w:val="0"/>
          <w:sz w:val="20"/>
          <w:szCs w:val="20"/>
        </w:rPr>
        <w:t xml:space="preserve"> </w:t>
      </w:r>
      <w:r>
        <w:rPr>
          <w:rFonts w:ascii="Calibri" w:hAnsi="Calibri"/>
        </w:rPr>
        <w:t xml:space="preserve">－15% </w:t>
      </w:r>
      <w:r>
        <w:rPr>
          <w:rFonts w:ascii="Calibri" w:hAnsi="Calibri"/>
          <w:lang w:bidi="ar"/>
        </w:rPr>
        <w:t>≤</w:t>
      </w:r>
      <w:r>
        <w:rPr>
          <w:rFonts w:ascii="Calibri" w:hAnsi="Calibri"/>
        </w:rPr>
        <w:t>电源电压适应范围</w:t>
      </w:r>
      <w:r>
        <w:rPr>
          <w:rFonts w:ascii="Calibri" w:hAnsi="Calibri"/>
          <w:lang w:bidi="ar"/>
        </w:rPr>
        <w:t>≤</w:t>
      </w:r>
      <w:r>
        <w:rPr>
          <w:rFonts w:ascii="宋体" w:hAnsi="宋体"/>
          <w:spacing w:val="-6"/>
          <w:kern w:val="0"/>
          <w:sz w:val="20"/>
          <w:szCs w:val="20"/>
        </w:rPr>
        <w:t>U</w:t>
      </w:r>
      <w:r>
        <w:rPr>
          <w:rFonts w:ascii="宋体" w:hAnsi="宋体"/>
          <w:spacing w:val="-6"/>
          <w:kern w:val="0"/>
          <w:sz w:val="16"/>
          <w:szCs w:val="16"/>
        </w:rPr>
        <w:t>nom</w:t>
      </w:r>
      <w:r>
        <w:rPr>
          <w:rFonts w:hint="eastAsia" w:ascii="宋体" w:hAnsi="宋体"/>
          <w:spacing w:val="-6"/>
          <w:kern w:val="0"/>
          <w:sz w:val="20"/>
          <w:szCs w:val="20"/>
          <w:vertAlign w:val="superscript"/>
        </w:rPr>
        <w:t>a</w:t>
      </w:r>
      <w:r>
        <w:rPr>
          <w:rFonts w:ascii="宋体" w:hAnsi="宋体"/>
          <w:spacing w:val="-6"/>
          <w:kern w:val="0"/>
          <w:sz w:val="20"/>
          <w:szCs w:val="20"/>
        </w:rPr>
        <w:t xml:space="preserve"> </w:t>
      </w:r>
      <w:r>
        <w:rPr>
          <w:rFonts w:ascii="Calibri" w:hAnsi="Calibri"/>
        </w:rPr>
        <w:t>＋10%</w:t>
      </w:r>
      <w:r>
        <w:t>。</w:t>
      </w:r>
    </w:p>
    <w:p>
      <w:pPr>
        <w:pStyle w:val="48"/>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闸机制式</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人行出入口验票通道闸产品类别典型示例</w:t>
      </w:r>
    </w:p>
    <w:p>
      <w:pPr>
        <w:pStyle w:val="50"/>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无拦挡式</w:t>
      </w:r>
    </w:p>
    <w:p>
      <w:pPr>
        <w:ind w:firstLine="400"/>
        <w:rPr>
          <w:rFonts w:ascii="宋体" w:hAnsi="宋体"/>
          <w:szCs w:val="21"/>
        </w:rPr>
      </w:pPr>
      <w:r>
        <w:rPr>
          <w:rFonts w:ascii="宋体" w:hAnsi="宋体"/>
          <w:szCs w:val="21"/>
        </w:rPr>
        <w:t>无拦挡式设备</w:t>
      </w:r>
      <w:r>
        <w:rPr>
          <w:rFonts w:hint="eastAsia" w:ascii="宋体" w:hAnsi="宋体"/>
          <w:szCs w:val="21"/>
        </w:rPr>
        <w:t>无</w:t>
      </w:r>
      <w:r>
        <w:rPr>
          <w:rFonts w:ascii="宋体" w:hAnsi="宋体"/>
          <w:szCs w:val="21"/>
        </w:rPr>
        <w:t>驱动机构和拦挡部分结构，安装该设备的通道一直处于无拦挡状态，常称为无障碍人行通道闸，设备模型示例如</w:t>
      </w:r>
      <w:r>
        <w:rPr>
          <w:rFonts w:hint="eastAsia" w:ascii="宋体" w:hAnsi="宋体"/>
          <w:szCs w:val="21"/>
        </w:rPr>
        <w:t>图</w:t>
      </w:r>
      <w:r>
        <w:rPr>
          <w:rFonts w:hint="eastAsia" w:ascii="Times New Roman" w:hAnsi="Times New Roman" w:eastAsia="宋体" w:cs="Times New Roman"/>
          <w:kern w:val="2"/>
          <w:sz w:val="21"/>
          <w:szCs w:val="24"/>
          <w:lang w:val="en-US" w:eastAsia="zh-CN" w:bidi="ar-SA"/>
        </w:rPr>
        <w:t>B.1</w:t>
      </w:r>
      <w:r>
        <w:rPr>
          <w:rFonts w:ascii="宋体" w:hAnsi="宋体"/>
          <w:szCs w:val="21"/>
        </w:rPr>
        <w:t>所示。管理和引导人员有序通行过程中，允许通行状态（合法通过）和禁止通行状态通过不同的视觉</w:t>
      </w:r>
      <w:r>
        <w:rPr>
          <w:rFonts w:hint="eastAsia" w:ascii="宋体" w:hAnsi="宋体"/>
          <w:szCs w:val="21"/>
        </w:rPr>
        <w:t>/听</w:t>
      </w:r>
      <w:r>
        <w:rPr>
          <w:rFonts w:ascii="宋体" w:hAnsi="宋体"/>
          <w:szCs w:val="21"/>
        </w:rPr>
        <w:t>觉指示人员通行，禁止通行状态强行通过时，设备报警。</w:t>
      </w:r>
    </w:p>
    <w:p>
      <w:pPr>
        <w:ind w:firstLine="420"/>
        <w:rPr>
          <w:sz w:val="20"/>
          <w:szCs w:val="20"/>
        </w:rPr>
      </w:pPr>
      <w:r>
        <w:drawing>
          <wp:inline distT="0" distB="0" distL="0" distR="0">
            <wp:extent cx="5210175" cy="2238375"/>
            <wp:effectExtent l="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19">
                      <a:extLst>
                        <a:ext uri="{28A0092B-C50C-407E-A947-70E740481C1C}">
                          <a14:useLocalDpi xmlns:a14="http://schemas.microsoft.com/office/drawing/2010/main" val="0"/>
                        </a:ext>
                      </a:extLst>
                    </a:blip>
                    <a:srcRect l="1401" t="11906" r="591" b="6319"/>
                    <a:stretch>
                      <a:fillRect/>
                    </a:stretch>
                  </pic:blipFill>
                  <pic:spPr>
                    <a:xfrm>
                      <a:off x="0" y="0"/>
                      <a:ext cx="5210175" cy="2238375"/>
                    </a:xfrm>
                    <a:prstGeom prst="rect">
                      <a:avLst/>
                    </a:prstGeom>
                    <a:noFill/>
                    <a:ln>
                      <a:noFill/>
                    </a:ln>
                  </pic:spPr>
                </pic:pic>
              </a:graphicData>
            </a:graphic>
          </wp:inline>
        </w:drawing>
      </w:r>
    </w:p>
    <w:p>
      <w:pPr>
        <w:ind w:firstLine="402"/>
        <w:jc w:val="center"/>
        <w:rPr>
          <w:rFonts w:ascii="黑体" w:hAnsi="黑体" w:eastAsia="黑体"/>
          <w:szCs w:val="21"/>
        </w:rPr>
      </w:pPr>
      <w:r>
        <w:rPr>
          <w:rFonts w:hint="eastAsia" w:ascii="黑体" w:hAnsi="黑体" w:eastAsia="黑体"/>
          <w:szCs w:val="21"/>
        </w:rPr>
        <w:t>图B</w:t>
      </w:r>
      <w:r>
        <w:rPr>
          <w:rFonts w:ascii="黑体" w:hAnsi="黑体" w:eastAsia="黑体"/>
          <w:szCs w:val="21"/>
        </w:rPr>
        <w:t>.</w:t>
      </w:r>
      <w:r>
        <w:rPr>
          <w:rFonts w:hint="eastAsia" w:ascii="黑体" w:hAnsi="黑体" w:eastAsia="黑体"/>
          <w:szCs w:val="21"/>
        </w:rPr>
        <w:t>1</w:t>
      </w:r>
      <w:r>
        <w:rPr>
          <w:rFonts w:ascii="黑体" w:hAnsi="黑体" w:eastAsia="黑体"/>
          <w:szCs w:val="21"/>
        </w:rPr>
        <w:tab/>
      </w:r>
      <w:r>
        <w:rPr>
          <w:rFonts w:ascii="黑体" w:hAnsi="黑体" w:eastAsia="黑体"/>
          <w:szCs w:val="21"/>
        </w:rPr>
        <w:t>无拦挡式示</w:t>
      </w:r>
      <w:r>
        <w:rPr>
          <w:rFonts w:hint="eastAsia" w:ascii="黑体" w:hAnsi="黑体" w:eastAsia="黑体"/>
          <w:szCs w:val="21"/>
        </w:rPr>
        <w:t>例</w:t>
      </w:r>
    </w:p>
    <w:p>
      <w:pPr>
        <w:ind w:firstLine="402"/>
        <w:jc w:val="center"/>
        <w:rPr>
          <w:rFonts w:ascii="宋体" w:hAnsi="宋体"/>
          <w:b/>
          <w:szCs w:val="21"/>
        </w:rPr>
      </w:pPr>
    </w:p>
    <w:p>
      <w:pPr>
        <w:pStyle w:val="50"/>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拦挡式</w:t>
      </w:r>
    </w:p>
    <w:p>
      <w:pPr>
        <w:pStyle w:val="40"/>
        <w:numPr>
          <w:ilvl w:val="0"/>
          <w:numId w:val="15"/>
        </w:numPr>
        <w:rPr>
          <w:szCs w:val="21"/>
        </w:rPr>
      </w:pPr>
      <w:r>
        <w:rPr>
          <w:szCs w:val="21"/>
        </w:rPr>
        <w:t>挡杆式</w:t>
      </w:r>
    </w:p>
    <w:p>
      <w:pPr>
        <w:ind w:firstLine="420"/>
        <w:rPr>
          <w:rFonts w:ascii="宋体" w:hAnsi="宋体"/>
          <w:sz w:val="20"/>
          <w:szCs w:val="20"/>
        </w:rPr>
      </w:pPr>
      <w:r>
        <w:rPr>
          <w:rFonts w:ascii="宋体" w:hAnsi="宋体"/>
          <w:szCs w:val="21"/>
        </w:rPr>
        <w:t>挡杆式设备主要包括：三</w:t>
      </w:r>
      <w:r>
        <w:rPr>
          <w:rFonts w:hint="eastAsia" w:ascii="宋体" w:hAnsi="宋体"/>
          <w:szCs w:val="21"/>
        </w:rPr>
        <w:t>棍</w:t>
      </w:r>
      <w:r>
        <w:rPr>
          <w:rFonts w:ascii="宋体" w:hAnsi="宋体"/>
          <w:szCs w:val="21"/>
        </w:rPr>
        <w:t>闸、一</w:t>
      </w:r>
      <w:r>
        <w:rPr>
          <w:rFonts w:hint="eastAsia" w:ascii="宋体" w:hAnsi="宋体"/>
          <w:szCs w:val="21"/>
        </w:rPr>
        <w:t>字</w:t>
      </w:r>
      <w:r>
        <w:rPr>
          <w:rFonts w:ascii="宋体" w:hAnsi="宋体"/>
          <w:szCs w:val="21"/>
        </w:rPr>
        <w:t>闸、十字闸等；设备模型示例如图</w:t>
      </w:r>
      <w:r>
        <w:rPr>
          <w:rFonts w:hint="eastAsia" w:ascii="Times New Roman" w:hAnsi="Times New Roman" w:eastAsia="宋体" w:cs="Times New Roman"/>
          <w:kern w:val="2"/>
          <w:sz w:val="21"/>
          <w:szCs w:val="24"/>
          <w:lang w:val="en-US" w:eastAsia="zh-CN" w:bidi="ar-SA"/>
        </w:rPr>
        <w:t>B.2-</w:t>
      </w:r>
      <w:r>
        <w:rPr>
          <w:rFonts w:ascii="宋体" w:hAnsi="宋体"/>
          <w:szCs w:val="21"/>
        </w:rPr>
        <w:t>图</w:t>
      </w:r>
      <w:r>
        <w:rPr>
          <w:rFonts w:hint="eastAsia" w:ascii="Times New Roman" w:hAnsi="Times New Roman" w:eastAsia="宋体" w:cs="Times New Roman"/>
          <w:kern w:val="2"/>
          <w:sz w:val="21"/>
          <w:szCs w:val="24"/>
          <w:lang w:val="en-US" w:eastAsia="zh-CN" w:bidi="ar-SA"/>
        </w:rPr>
        <w:t>B.4</w:t>
      </w:r>
      <w:r>
        <w:rPr>
          <w:rFonts w:ascii="宋体" w:hAnsi="宋体"/>
          <w:szCs w:val="21"/>
        </w:rPr>
        <w:t>所示。一字闸拦挡部分的运动形态可以是上下运动或者前后摆动。三</w:t>
      </w:r>
      <w:r>
        <w:rPr>
          <w:rFonts w:hint="eastAsia" w:ascii="宋体" w:hAnsi="宋体"/>
          <w:szCs w:val="21"/>
        </w:rPr>
        <w:t>棍</w:t>
      </w:r>
      <w:r>
        <w:rPr>
          <w:rFonts w:ascii="宋体" w:hAnsi="宋体"/>
          <w:szCs w:val="21"/>
        </w:rPr>
        <w:t>闸的人员通行检测主</w:t>
      </w:r>
      <w:r>
        <w:rPr>
          <w:rFonts w:hint="eastAsia" w:ascii="宋体" w:hAnsi="宋体"/>
          <w:szCs w:val="21"/>
        </w:rPr>
        <w:t>要</w:t>
      </w:r>
      <w:r>
        <w:rPr>
          <w:rFonts w:ascii="宋体" w:hAnsi="宋体"/>
          <w:szCs w:val="21"/>
        </w:rPr>
        <w:t>通过其拦挡部分结构和角位检测共同完成，拦挡部分的运动形态为沿着一个固定斜角的轴心进行</w:t>
      </w:r>
      <w:r>
        <w:rPr>
          <w:rFonts w:hint="eastAsia" w:ascii="宋体" w:hAnsi="宋体"/>
          <w:szCs w:val="21"/>
        </w:rPr>
        <w:t>圆周</w:t>
      </w:r>
      <w:r>
        <w:rPr>
          <w:rFonts w:ascii="宋体" w:hAnsi="宋体"/>
          <w:szCs w:val="21"/>
        </w:rPr>
        <w:t>旋转。十字转闸的人员通行检测功能可以通过其拦挡部分结构和角位检测共同完成，也可以采用红外等技术实现，其拦挡部分运动形态为水平旋转。</w:t>
      </w:r>
    </w:p>
    <w:p>
      <w:pPr>
        <w:rPr>
          <w:rFonts w:ascii="宋体" w:hAnsi="宋体"/>
          <w:sz w:val="20"/>
          <w:szCs w:val="20"/>
        </w:rPr>
      </w:pPr>
      <w:r>
        <w:drawing>
          <wp:inline distT="0" distB="0" distL="0" distR="0">
            <wp:extent cx="5029200" cy="2348230"/>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0">
                      <a:extLst>
                        <a:ext uri="{28A0092B-C50C-407E-A947-70E740481C1C}">
                          <a14:useLocalDpi xmlns:a14="http://schemas.microsoft.com/office/drawing/2010/main" val="0"/>
                        </a:ext>
                      </a:extLst>
                    </a:blip>
                    <a:srcRect t="6615" b="7784"/>
                    <a:stretch>
                      <a:fillRect/>
                    </a:stretch>
                  </pic:blipFill>
                  <pic:spPr>
                    <a:xfrm>
                      <a:off x="0" y="0"/>
                      <a:ext cx="5029200" cy="2348230"/>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图B</w:t>
      </w:r>
      <w:r>
        <w:rPr>
          <w:rFonts w:ascii="黑体" w:hAnsi="黑体" w:eastAsia="黑体"/>
          <w:szCs w:val="21"/>
        </w:rPr>
        <w:t>.</w:t>
      </w:r>
      <w:r>
        <w:rPr>
          <w:rFonts w:hint="eastAsia" w:ascii="黑体" w:hAnsi="黑体" w:eastAsia="黑体"/>
          <w:szCs w:val="21"/>
        </w:rPr>
        <w:t>2</w:t>
      </w:r>
      <w:r>
        <w:rPr>
          <w:rFonts w:ascii="黑体" w:hAnsi="黑体" w:eastAsia="黑体"/>
          <w:szCs w:val="21"/>
        </w:rPr>
        <w:tab/>
      </w:r>
      <w:r>
        <w:rPr>
          <w:rFonts w:ascii="黑体" w:hAnsi="黑体" w:eastAsia="黑体"/>
          <w:szCs w:val="21"/>
        </w:rPr>
        <w:t>一字闸示例</w:t>
      </w:r>
    </w:p>
    <w:p>
      <w:pPr>
        <w:jc w:val="center"/>
        <w:rPr>
          <w:rFonts w:ascii="宋体" w:hAnsi="宋体"/>
          <w:b/>
          <w:szCs w:val="21"/>
        </w:rPr>
      </w:pPr>
    </w:p>
    <w:p>
      <w:pPr>
        <w:rPr>
          <w:rFonts w:ascii="宋体" w:hAnsi="宋体"/>
          <w:sz w:val="20"/>
          <w:szCs w:val="20"/>
        </w:rPr>
      </w:pPr>
      <w:r>
        <w:drawing>
          <wp:inline distT="0" distB="0" distL="0" distR="0">
            <wp:extent cx="5191125" cy="2462530"/>
            <wp:effectExtent l="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noChangeArrowheads="1"/>
                    </pic:cNvPicPr>
                  </pic:nvPicPr>
                  <pic:blipFill>
                    <a:blip r:embed="rId21">
                      <a:extLst>
                        <a:ext uri="{28A0092B-C50C-407E-A947-70E740481C1C}">
                          <a14:useLocalDpi xmlns:a14="http://schemas.microsoft.com/office/drawing/2010/main" val="0"/>
                        </a:ext>
                      </a:extLst>
                    </a:blip>
                    <a:srcRect t="8774" b="6024"/>
                    <a:stretch>
                      <a:fillRect/>
                    </a:stretch>
                  </pic:blipFill>
                  <pic:spPr>
                    <a:xfrm>
                      <a:off x="0" y="0"/>
                      <a:ext cx="5191125" cy="2462530"/>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图B</w:t>
      </w:r>
      <w:r>
        <w:rPr>
          <w:rFonts w:ascii="黑体" w:hAnsi="黑体" w:eastAsia="黑体"/>
          <w:szCs w:val="21"/>
        </w:rPr>
        <w:t>.</w:t>
      </w:r>
      <w:r>
        <w:rPr>
          <w:rFonts w:hint="eastAsia" w:ascii="黑体" w:hAnsi="黑体" w:eastAsia="黑体"/>
          <w:szCs w:val="21"/>
        </w:rPr>
        <w:t>3</w:t>
      </w:r>
      <w:r>
        <w:rPr>
          <w:rFonts w:ascii="黑体" w:hAnsi="黑体" w:eastAsia="黑体"/>
          <w:szCs w:val="21"/>
        </w:rPr>
        <w:tab/>
      </w:r>
      <w:r>
        <w:rPr>
          <w:rFonts w:ascii="黑体" w:hAnsi="黑体" w:eastAsia="黑体"/>
          <w:szCs w:val="21"/>
        </w:rPr>
        <w:t>三</w:t>
      </w:r>
      <w:r>
        <w:rPr>
          <w:rFonts w:hint="eastAsia" w:ascii="黑体" w:hAnsi="黑体" w:eastAsia="黑体"/>
          <w:szCs w:val="21"/>
        </w:rPr>
        <w:t>棍</w:t>
      </w:r>
      <w:r>
        <w:rPr>
          <w:rFonts w:ascii="黑体" w:hAnsi="黑体" w:eastAsia="黑体"/>
          <w:szCs w:val="21"/>
        </w:rPr>
        <w:t>闸示例</w:t>
      </w:r>
    </w:p>
    <w:p>
      <w:pPr>
        <w:ind w:firstLine="361"/>
        <w:jc w:val="center"/>
        <w:rPr>
          <w:rFonts w:ascii="宋体" w:hAnsi="宋体"/>
          <w:b/>
          <w:szCs w:val="21"/>
        </w:rPr>
      </w:pPr>
    </w:p>
    <w:p>
      <w:pPr>
        <w:jc w:val="center"/>
        <w:rPr>
          <w:rFonts w:ascii="宋体" w:hAnsi="宋体"/>
          <w:b/>
          <w:sz w:val="20"/>
          <w:szCs w:val="20"/>
        </w:rPr>
      </w:pPr>
      <w:r>
        <w:drawing>
          <wp:inline distT="0" distB="0" distL="0" distR="0">
            <wp:extent cx="5248275" cy="2686050"/>
            <wp:effectExtent l="0" t="0" r="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noChangeArrowheads="1"/>
                    </pic:cNvPicPr>
                  </pic:nvPicPr>
                  <pic:blipFill>
                    <a:blip r:embed="rId22">
                      <a:extLst>
                        <a:ext uri="{28A0092B-C50C-407E-A947-70E740481C1C}">
                          <a14:useLocalDpi xmlns:a14="http://schemas.microsoft.com/office/drawing/2010/main" val="0"/>
                        </a:ext>
                      </a:extLst>
                    </a:blip>
                    <a:srcRect t="7477" b="986"/>
                    <a:stretch>
                      <a:fillRect/>
                    </a:stretch>
                  </pic:blipFill>
                  <pic:spPr>
                    <a:xfrm>
                      <a:off x="0" y="0"/>
                      <a:ext cx="5248275" cy="2686050"/>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图B.4</w:t>
      </w:r>
      <w:r>
        <w:rPr>
          <w:rFonts w:hint="eastAsia" w:ascii="黑体" w:hAnsi="黑体" w:eastAsia="黑体"/>
          <w:szCs w:val="21"/>
        </w:rPr>
        <w:tab/>
      </w:r>
      <w:r>
        <w:rPr>
          <w:rFonts w:hint="eastAsia" w:ascii="黑体" w:hAnsi="黑体" w:eastAsia="黑体"/>
          <w:szCs w:val="21"/>
        </w:rPr>
        <w:t>十字转闸示例</w:t>
      </w:r>
    </w:p>
    <w:p>
      <w:pPr>
        <w:pStyle w:val="40"/>
        <w:numPr>
          <w:ilvl w:val="0"/>
          <w:numId w:val="15"/>
        </w:numPr>
        <w:rPr>
          <w:szCs w:val="21"/>
        </w:rPr>
      </w:pPr>
      <w:r>
        <w:rPr>
          <w:szCs w:val="21"/>
        </w:rPr>
        <w:t>挡板式</w:t>
      </w:r>
      <w:r>
        <w:rPr>
          <w:rFonts w:hint="eastAsia"/>
          <w:szCs w:val="21"/>
        </w:rPr>
        <w:t>（门式）</w:t>
      </w:r>
    </w:p>
    <w:p>
      <w:pPr>
        <w:ind w:firstLine="420"/>
      </w:pPr>
      <w:r>
        <w:t>挡板式设备主要包括：摆闸、翼闸、全高翼闸等；设备模型示例如图</w:t>
      </w:r>
      <w:r>
        <w:rPr>
          <w:rFonts w:hint="eastAsia" w:ascii="Times New Roman" w:hAnsi="Times New Roman" w:eastAsia="宋体" w:cs="Times New Roman"/>
          <w:kern w:val="2"/>
          <w:sz w:val="21"/>
          <w:szCs w:val="24"/>
          <w:lang w:val="en-US" w:eastAsia="zh-CN" w:bidi="ar-SA"/>
        </w:rPr>
        <w:t>B.5</w:t>
      </w:r>
      <w:r>
        <w:rPr>
          <w:rFonts w:hint="eastAsia"/>
        </w:rPr>
        <w:t>-图</w:t>
      </w:r>
      <w:r>
        <w:rPr>
          <w:rFonts w:hint="eastAsia" w:ascii="Times New Roman" w:hAnsi="Times New Roman" w:eastAsia="宋体" w:cs="Times New Roman"/>
          <w:kern w:val="2"/>
          <w:sz w:val="21"/>
          <w:szCs w:val="24"/>
          <w:lang w:val="en-US" w:eastAsia="zh-CN" w:bidi="ar-SA"/>
        </w:rPr>
        <w:t>B.8</w:t>
      </w:r>
      <w:r>
        <w:t>所示。</w:t>
      </w:r>
    </w:p>
    <w:p>
      <w:pPr>
        <w:ind w:firstLine="420"/>
      </w:pPr>
      <w:r>
        <w:t>摆闸的拦挡部分运动形态为前后水平摆动，人员通行检测功能采用红外等无线技术实现。</w:t>
      </w:r>
    </w:p>
    <w:p>
      <w:pPr>
        <w:ind w:firstLine="420"/>
      </w:pPr>
      <w:r>
        <w:t>翼闸的拦挡部分运动形态为垂直于通行方向运动，人员通行检测功能采用红外等无线技术实现。</w:t>
      </w:r>
    </w:p>
    <w:p>
      <w:pPr>
        <w:ind w:firstLine="420"/>
      </w:pPr>
      <w:r>
        <w:t>全高翼闸拦挡部分的拦挡尺寸增大，甚至机身上方的空间也要求采用与拦挡部分相同材料进行封闭阻挡；拦挡部分的运动形态为垂直于通向方向运动；行人无法避开拦挡部分而强行通过。</w:t>
      </w:r>
    </w:p>
    <w:p>
      <w:pPr>
        <w:rPr>
          <w:rFonts w:ascii="宋体" w:hAnsi="宋体"/>
          <w:sz w:val="20"/>
          <w:szCs w:val="20"/>
        </w:rPr>
      </w:pPr>
      <w:r>
        <w:drawing>
          <wp:inline distT="0" distB="0" distL="0" distR="0">
            <wp:extent cx="5143500" cy="2343150"/>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noChangeArrowheads="1"/>
                    </pic:cNvPicPr>
                  </pic:nvPicPr>
                  <pic:blipFill>
                    <a:blip r:embed="rId23">
                      <a:extLst>
                        <a:ext uri="{28A0092B-C50C-407E-A947-70E740481C1C}">
                          <a14:useLocalDpi xmlns:a14="http://schemas.microsoft.com/office/drawing/2010/main" val="0"/>
                        </a:ext>
                      </a:extLst>
                    </a:blip>
                    <a:srcRect t="11420" b="6058"/>
                    <a:stretch>
                      <a:fillRect/>
                    </a:stretch>
                  </pic:blipFill>
                  <pic:spPr>
                    <a:xfrm>
                      <a:off x="0" y="0"/>
                      <a:ext cx="5143500" cy="2343150"/>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图B.5</w:t>
      </w:r>
      <w:r>
        <w:rPr>
          <w:rFonts w:hint="eastAsia" w:ascii="黑体" w:hAnsi="黑体" w:eastAsia="黑体"/>
          <w:szCs w:val="21"/>
        </w:rPr>
        <w:tab/>
      </w:r>
      <w:r>
        <w:rPr>
          <w:rFonts w:hint="eastAsia" w:ascii="黑体" w:hAnsi="黑体" w:eastAsia="黑体"/>
          <w:szCs w:val="21"/>
        </w:rPr>
        <w:t>摆闸示例</w:t>
      </w:r>
    </w:p>
    <w:p>
      <w:pPr>
        <w:jc w:val="center"/>
        <w:rPr>
          <w:rFonts w:ascii="宋体" w:hAnsi="宋体"/>
          <w:b/>
          <w:szCs w:val="21"/>
        </w:rPr>
      </w:pPr>
    </w:p>
    <w:p>
      <w:r>
        <w:drawing>
          <wp:inline distT="0" distB="0" distL="0" distR="0">
            <wp:extent cx="5339080" cy="2286000"/>
            <wp:effectExtent l="0" t="0" r="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noChangeArrowheads="1"/>
                    </pic:cNvPicPr>
                  </pic:nvPicPr>
                  <pic:blipFill>
                    <a:blip r:embed="rId24">
                      <a:extLst>
                        <a:ext uri="{28A0092B-C50C-407E-A947-70E740481C1C}">
                          <a14:useLocalDpi xmlns:a14="http://schemas.microsoft.com/office/drawing/2010/main" val="0"/>
                        </a:ext>
                      </a:extLst>
                    </a:blip>
                    <a:srcRect t="9180" b="11472"/>
                    <a:stretch>
                      <a:fillRect/>
                    </a:stretch>
                  </pic:blipFill>
                  <pic:spPr>
                    <a:xfrm>
                      <a:off x="0" y="0"/>
                      <a:ext cx="5339080" cy="2286000"/>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图B.6</w:t>
      </w:r>
      <w:r>
        <w:rPr>
          <w:rFonts w:hint="eastAsia" w:ascii="黑体" w:hAnsi="黑体" w:eastAsia="黑体"/>
          <w:szCs w:val="21"/>
        </w:rPr>
        <w:tab/>
      </w:r>
      <w:r>
        <w:rPr>
          <w:rFonts w:hint="eastAsia" w:ascii="黑体" w:hAnsi="黑体" w:eastAsia="黑体"/>
          <w:szCs w:val="21"/>
        </w:rPr>
        <w:t>挡闸示例</w:t>
      </w:r>
    </w:p>
    <w:p>
      <w:pPr>
        <w:jc w:val="center"/>
        <w:rPr>
          <w:rFonts w:ascii="宋体" w:hAnsi="宋体"/>
          <w:b/>
          <w:szCs w:val="21"/>
        </w:rPr>
      </w:pPr>
    </w:p>
    <w:p>
      <w:pPr>
        <w:rPr>
          <w:rFonts w:ascii="宋体" w:hAnsi="宋体"/>
          <w:b/>
          <w:sz w:val="20"/>
          <w:szCs w:val="20"/>
        </w:rPr>
      </w:pPr>
      <w:r>
        <w:drawing>
          <wp:inline distT="0" distB="0" distL="0" distR="0">
            <wp:extent cx="5015230" cy="2295525"/>
            <wp:effectExtent l="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noChangeArrowheads="1"/>
                    </pic:cNvPicPr>
                  </pic:nvPicPr>
                  <pic:blipFill>
                    <a:blip r:embed="rId25">
                      <a:extLst>
                        <a:ext uri="{28A0092B-C50C-407E-A947-70E740481C1C}">
                          <a14:useLocalDpi xmlns:a14="http://schemas.microsoft.com/office/drawing/2010/main" val="0"/>
                        </a:ext>
                      </a:extLst>
                    </a:blip>
                    <a:srcRect t="8240" b="6705"/>
                    <a:stretch>
                      <a:fillRect/>
                    </a:stretch>
                  </pic:blipFill>
                  <pic:spPr>
                    <a:xfrm>
                      <a:off x="0" y="0"/>
                      <a:ext cx="5015230" cy="2295525"/>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图B.7</w:t>
      </w:r>
      <w:r>
        <w:rPr>
          <w:rFonts w:hint="eastAsia" w:ascii="黑体" w:hAnsi="黑体" w:eastAsia="黑体"/>
          <w:szCs w:val="21"/>
        </w:rPr>
        <w:tab/>
      </w:r>
      <w:r>
        <w:rPr>
          <w:rFonts w:hint="eastAsia" w:ascii="黑体" w:hAnsi="黑体" w:eastAsia="黑体"/>
          <w:szCs w:val="21"/>
        </w:rPr>
        <w:t>翼闸示例</w:t>
      </w:r>
    </w:p>
    <w:p>
      <w:pPr>
        <w:jc w:val="center"/>
        <w:rPr>
          <w:rFonts w:ascii="宋体" w:hAnsi="宋体"/>
          <w:b/>
          <w:szCs w:val="21"/>
        </w:rPr>
      </w:pPr>
    </w:p>
    <w:p>
      <w:pPr>
        <w:jc w:val="center"/>
        <w:rPr>
          <w:rFonts w:ascii="宋体" w:hAnsi="宋体"/>
          <w:b/>
          <w:sz w:val="20"/>
          <w:szCs w:val="20"/>
        </w:rPr>
      </w:pPr>
      <w:r>
        <w:drawing>
          <wp:inline distT="0" distB="0" distL="0" distR="0">
            <wp:extent cx="5510530" cy="3200400"/>
            <wp:effectExtent l="0" t="0" r="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noChangeArrowheads="1"/>
                    </pic:cNvPicPr>
                  </pic:nvPicPr>
                  <pic:blipFill>
                    <a:blip r:embed="rId26">
                      <a:extLst>
                        <a:ext uri="{28A0092B-C50C-407E-A947-70E740481C1C}">
                          <a14:useLocalDpi xmlns:a14="http://schemas.microsoft.com/office/drawing/2010/main" val="0"/>
                        </a:ext>
                      </a:extLst>
                    </a:blip>
                    <a:srcRect t="8459" b="-1208"/>
                    <a:stretch>
                      <a:fillRect/>
                    </a:stretch>
                  </pic:blipFill>
                  <pic:spPr>
                    <a:xfrm>
                      <a:off x="0" y="0"/>
                      <a:ext cx="5510530" cy="3200400"/>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 B.8</w:t>
      </w:r>
      <w:r>
        <w:rPr>
          <w:rFonts w:hint="eastAsia" w:ascii="黑体" w:hAnsi="黑体" w:eastAsia="黑体"/>
          <w:szCs w:val="21"/>
        </w:rPr>
        <w:tab/>
      </w:r>
      <w:r>
        <w:rPr>
          <w:rFonts w:hint="eastAsia" w:ascii="黑体" w:hAnsi="黑体" w:eastAsia="黑体"/>
          <w:szCs w:val="21"/>
        </w:rPr>
        <w:t>全高翼闸示例</w:t>
      </w:r>
    </w:p>
    <w:p>
      <w:pPr>
        <w:ind w:firstLine="361"/>
        <w:jc w:val="center"/>
        <w:rPr>
          <w:rFonts w:ascii="宋体" w:hAnsi="宋体"/>
          <w:b/>
          <w:szCs w:val="21"/>
        </w:rPr>
      </w:pP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人行出入口验票通道闸通道构成</w:t>
      </w:r>
    </w:p>
    <w:p>
      <w:pPr>
        <w:ind w:firstLine="420"/>
        <w:rPr>
          <w:rFonts w:ascii="宋体" w:hAnsi="宋体"/>
          <w:szCs w:val="21"/>
        </w:rPr>
      </w:pPr>
      <w:r>
        <w:rPr>
          <w:rFonts w:ascii="宋体" w:hAnsi="宋体"/>
          <w:szCs w:val="21"/>
        </w:rPr>
        <w:t>人行通道可由设备机身与设备机身之间组合构成，也可由设备机身与构筑物（墙体或护栏等建筑设</w:t>
      </w:r>
      <w:r>
        <w:rPr>
          <w:rFonts w:hint="eastAsia" w:ascii="宋体" w:hAnsi="宋体"/>
          <w:szCs w:val="21"/>
        </w:rPr>
        <w:t>施</w:t>
      </w:r>
      <w:r>
        <w:rPr>
          <w:rFonts w:ascii="宋体" w:hAnsi="宋体"/>
          <w:szCs w:val="21"/>
        </w:rPr>
        <w:t>）之间组合构成，典型示例如下</w:t>
      </w:r>
      <w:r>
        <w:rPr>
          <w:rFonts w:hint="eastAsia" w:ascii="宋体" w:hAnsi="宋体"/>
          <w:szCs w:val="21"/>
        </w:rPr>
        <w:t>：</w:t>
      </w:r>
    </w:p>
    <w:p>
      <w:pPr>
        <w:ind w:firstLine="420"/>
        <w:rPr>
          <w:rFonts w:ascii="宋体" w:hAnsi="宋体"/>
          <w:sz w:val="20"/>
          <w:szCs w:val="20"/>
        </w:rPr>
      </w:pPr>
      <w:r>
        <w:rPr>
          <w:rFonts w:ascii="宋体"/>
          <w:kern w:val="0"/>
          <w:szCs w:val="21"/>
        </w:rPr>
        <w:t>a</w:t>
      </w:r>
      <w:r>
        <w:rPr>
          <w:rFonts w:hint="eastAsia" w:ascii="宋体"/>
          <w:kern w:val="0"/>
          <w:szCs w:val="21"/>
          <w:lang w:eastAsia="zh-CN"/>
        </w:rPr>
        <w:t>）</w:t>
      </w:r>
      <w:r>
        <w:rPr>
          <w:rFonts w:ascii="宋体" w:hAnsi="宋体"/>
          <w:szCs w:val="21"/>
        </w:rPr>
        <w:t>设备机身与设备机身之间有两个拦挡部分的构成的单通道形态</w:t>
      </w:r>
      <w:r>
        <w:rPr>
          <w:rFonts w:hint="eastAsia" w:ascii="宋体" w:hAnsi="宋体"/>
          <w:szCs w:val="21"/>
        </w:rPr>
        <w:t>，</w:t>
      </w:r>
      <w:r>
        <w:rPr>
          <w:rFonts w:ascii="宋体" w:hAnsi="宋体"/>
          <w:szCs w:val="21"/>
        </w:rPr>
        <w:t>如</w:t>
      </w:r>
      <w:r>
        <w:rPr>
          <w:rFonts w:hint="eastAsia" w:ascii="宋体" w:hAnsi="宋体"/>
          <w:szCs w:val="21"/>
        </w:rPr>
        <w:t>图</w:t>
      </w:r>
      <w:r>
        <w:rPr>
          <w:rFonts w:hint="eastAsia"/>
        </w:rPr>
        <w:t>B.9</w:t>
      </w:r>
      <w:r>
        <w:rPr>
          <w:rFonts w:ascii="宋体" w:hAnsi="宋体"/>
          <w:szCs w:val="21"/>
        </w:rPr>
        <w:t>所示</w:t>
      </w:r>
      <w:r>
        <w:rPr>
          <w:rFonts w:ascii="宋体" w:hAnsi="宋体"/>
          <w:sz w:val="20"/>
          <w:szCs w:val="20"/>
        </w:rPr>
        <w:t>；</w:t>
      </w:r>
    </w:p>
    <w:p>
      <w:pPr>
        <w:rPr>
          <w:rFonts w:ascii="宋体" w:hAnsi="宋体"/>
          <w:sz w:val="20"/>
          <w:szCs w:val="20"/>
        </w:rPr>
      </w:pPr>
      <w:r>
        <w:drawing>
          <wp:inline distT="0" distB="0" distL="0" distR="0">
            <wp:extent cx="5072380" cy="2414905"/>
            <wp:effectExtent l="0" t="0" r="0" b="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noChangeArrowheads="1"/>
                    </pic:cNvPicPr>
                  </pic:nvPicPr>
                  <pic:blipFill>
                    <a:blip r:embed="rId27">
                      <a:extLst>
                        <a:ext uri="{28A0092B-C50C-407E-A947-70E740481C1C}">
                          <a14:useLocalDpi xmlns:a14="http://schemas.microsoft.com/office/drawing/2010/main" val="0"/>
                        </a:ext>
                      </a:extLst>
                    </a:blip>
                    <a:srcRect t="13647" b="12053"/>
                    <a:stretch>
                      <a:fillRect/>
                    </a:stretch>
                  </pic:blipFill>
                  <pic:spPr>
                    <a:xfrm>
                      <a:off x="0" y="0"/>
                      <a:ext cx="5072380" cy="2414905"/>
                    </a:xfrm>
                    <a:prstGeom prst="rect">
                      <a:avLst/>
                    </a:prstGeom>
                    <a:noFill/>
                    <a:ln>
                      <a:noFill/>
                    </a:ln>
                  </pic:spPr>
                </pic:pic>
              </a:graphicData>
            </a:graphic>
          </wp:inline>
        </w:drawing>
      </w:r>
    </w:p>
    <w:p>
      <w:pPr>
        <w:rPr>
          <w:rFonts w:ascii="宋体" w:hAnsi="宋体"/>
          <w:sz w:val="20"/>
          <w:szCs w:val="20"/>
        </w:rPr>
      </w:pPr>
      <w:r>
        <w:rPr>
          <w:rFonts w:hint="eastAsia" w:ascii="宋体" w:hAnsi="宋体"/>
          <w:sz w:val="20"/>
          <w:szCs w:val="20"/>
        </w:rPr>
        <w:t xml:space="preserve">           </w:t>
      </w:r>
      <w:r>
        <w:rPr>
          <w:rFonts w:ascii="宋体" w:hAnsi="宋体"/>
          <w:sz w:val="20"/>
          <w:szCs w:val="20"/>
        </w:rPr>
        <w:t xml:space="preserve"> a</w:t>
      </w:r>
      <w:r>
        <w:rPr>
          <w:rFonts w:hint="eastAsia" w:ascii="宋体" w:hAnsi="宋体"/>
          <w:sz w:val="20"/>
          <w:szCs w:val="20"/>
        </w:rPr>
        <w:t xml:space="preserve">）主视图                     </w:t>
      </w:r>
      <w:r>
        <w:rPr>
          <w:rFonts w:ascii="宋体" w:hAnsi="宋体"/>
          <w:sz w:val="20"/>
          <w:szCs w:val="20"/>
        </w:rPr>
        <w:t xml:space="preserve">  </w:t>
      </w:r>
      <w:r>
        <w:rPr>
          <w:rFonts w:hint="eastAsia" w:ascii="宋体" w:hAnsi="宋体"/>
          <w:sz w:val="20"/>
          <w:szCs w:val="20"/>
        </w:rPr>
        <w:t xml:space="preserve">           </w:t>
      </w:r>
      <w:r>
        <w:rPr>
          <w:rFonts w:ascii="宋体" w:hAnsi="宋体"/>
          <w:sz w:val="20"/>
          <w:szCs w:val="20"/>
        </w:rPr>
        <w:t>b</w:t>
      </w:r>
      <w:r>
        <w:rPr>
          <w:rFonts w:hint="eastAsia" w:ascii="宋体" w:hAnsi="宋体"/>
          <w:sz w:val="20"/>
          <w:szCs w:val="20"/>
        </w:rPr>
        <w:t>）俯视图</w:t>
      </w:r>
    </w:p>
    <w:p>
      <w:pPr>
        <w:jc w:val="center"/>
        <w:rPr>
          <w:rFonts w:ascii="黑体" w:hAnsi="黑体" w:eastAsia="黑体"/>
          <w:szCs w:val="21"/>
        </w:rPr>
      </w:pPr>
      <w:r>
        <w:rPr>
          <w:rFonts w:hint="eastAsia" w:ascii="黑体" w:hAnsi="黑体" w:eastAsia="黑体"/>
          <w:szCs w:val="21"/>
        </w:rPr>
        <w:t>图B.9</w:t>
      </w:r>
      <w:r>
        <w:rPr>
          <w:rFonts w:hint="eastAsia" w:ascii="黑体" w:hAnsi="黑体" w:eastAsia="黑体"/>
          <w:szCs w:val="21"/>
        </w:rPr>
        <w:tab/>
      </w:r>
      <w:r>
        <w:rPr>
          <w:rFonts w:hint="eastAsia" w:ascii="黑体" w:hAnsi="黑体" w:eastAsia="黑体"/>
          <w:szCs w:val="21"/>
        </w:rPr>
        <w:t>设备机身与设备机身之间（类别I）单通道构成示例</w:t>
      </w:r>
    </w:p>
    <w:p>
      <w:pPr>
        <w:ind w:firstLine="361"/>
        <w:jc w:val="center"/>
        <w:rPr>
          <w:rFonts w:ascii="宋体" w:hAnsi="宋体"/>
          <w:szCs w:val="21"/>
        </w:rPr>
      </w:pPr>
    </w:p>
    <w:p>
      <w:pPr>
        <w:ind w:firstLine="400"/>
        <w:rPr>
          <w:rFonts w:ascii="宋体" w:hAnsi="宋体"/>
          <w:szCs w:val="21"/>
        </w:rPr>
      </w:pPr>
      <w:r>
        <w:rPr>
          <w:rFonts w:ascii="宋体" w:hAnsi="宋体"/>
          <w:sz w:val="20"/>
          <w:szCs w:val="20"/>
        </w:rPr>
        <w:t>b</w:t>
      </w:r>
      <w:r>
        <w:rPr>
          <w:rFonts w:hint="eastAsia" w:ascii="宋体" w:hAnsi="宋体"/>
          <w:sz w:val="20"/>
          <w:szCs w:val="20"/>
          <w:lang w:eastAsia="zh-CN"/>
        </w:rPr>
        <w:t>）</w:t>
      </w:r>
      <w:r>
        <w:rPr>
          <w:rFonts w:ascii="宋体" w:hAnsi="宋体"/>
          <w:szCs w:val="21"/>
        </w:rPr>
        <w:t>设备机身与设备机身之间只有一个拦挡部分的构成的单通道形态，如图</w:t>
      </w:r>
      <w:r>
        <w:rPr>
          <w:rFonts w:hint="eastAsia"/>
        </w:rPr>
        <w:t>B.10</w:t>
      </w:r>
      <w:r>
        <w:rPr>
          <w:rFonts w:ascii="宋体" w:hAnsi="宋体"/>
          <w:szCs w:val="21"/>
        </w:rPr>
        <w:t>所示；</w:t>
      </w:r>
    </w:p>
    <w:p>
      <w:pPr>
        <w:rPr>
          <w:rFonts w:ascii="宋体" w:hAnsi="宋体"/>
          <w:sz w:val="20"/>
          <w:szCs w:val="20"/>
        </w:rPr>
      </w:pPr>
      <w:r>
        <w:drawing>
          <wp:inline distT="0" distB="0" distL="0" distR="0">
            <wp:extent cx="5205730" cy="2481580"/>
            <wp:effectExtent l="0" t="0" r="0" b="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noChangeArrowheads="1"/>
                    </pic:cNvPicPr>
                  </pic:nvPicPr>
                  <pic:blipFill>
                    <a:blip r:embed="rId28">
                      <a:extLst>
                        <a:ext uri="{28A0092B-C50C-407E-A947-70E740481C1C}">
                          <a14:useLocalDpi xmlns:a14="http://schemas.microsoft.com/office/drawing/2010/main" val="0"/>
                        </a:ext>
                      </a:extLst>
                    </a:blip>
                    <a:srcRect t="10625" b="11340"/>
                    <a:stretch>
                      <a:fillRect/>
                    </a:stretch>
                  </pic:blipFill>
                  <pic:spPr>
                    <a:xfrm>
                      <a:off x="0" y="0"/>
                      <a:ext cx="5205730" cy="2481580"/>
                    </a:xfrm>
                    <a:prstGeom prst="rect">
                      <a:avLst/>
                    </a:prstGeom>
                    <a:noFill/>
                    <a:ln>
                      <a:noFill/>
                    </a:ln>
                  </pic:spPr>
                </pic:pic>
              </a:graphicData>
            </a:graphic>
          </wp:inline>
        </w:drawing>
      </w:r>
    </w:p>
    <w:p>
      <w:pPr>
        <w:ind w:firstLine="400"/>
        <w:rPr>
          <w:rFonts w:ascii="宋体" w:hAnsi="宋体"/>
          <w:sz w:val="20"/>
          <w:szCs w:val="20"/>
        </w:rPr>
      </w:pPr>
      <w:r>
        <w:rPr>
          <w:rFonts w:hint="eastAsia" w:ascii="宋体" w:hAnsi="宋体"/>
          <w:sz w:val="20"/>
          <w:szCs w:val="20"/>
        </w:rPr>
        <w:t xml:space="preserve">            </w:t>
      </w:r>
      <w:r>
        <w:rPr>
          <w:rFonts w:ascii="宋体" w:hAnsi="宋体"/>
          <w:sz w:val="20"/>
          <w:szCs w:val="20"/>
        </w:rPr>
        <w:t>a</w:t>
      </w:r>
      <w:r>
        <w:rPr>
          <w:rFonts w:hint="eastAsia" w:ascii="宋体" w:hAnsi="宋体"/>
          <w:sz w:val="20"/>
          <w:szCs w:val="20"/>
        </w:rPr>
        <w:t xml:space="preserve">）主视图                               </w:t>
      </w:r>
      <w:r>
        <w:rPr>
          <w:rFonts w:ascii="宋体" w:hAnsi="宋体"/>
          <w:sz w:val="20"/>
          <w:szCs w:val="20"/>
        </w:rPr>
        <w:t>b</w:t>
      </w:r>
      <w:r>
        <w:rPr>
          <w:rFonts w:hint="eastAsia" w:ascii="宋体" w:hAnsi="宋体"/>
          <w:sz w:val="20"/>
          <w:szCs w:val="20"/>
        </w:rPr>
        <w:t>）俯视图</w:t>
      </w:r>
    </w:p>
    <w:p>
      <w:pPr>
        <w:jc w:val="center"/>
        <w:rPr>
          <w:rFonts w:ascii="黑体" w:hAnsi="黑体" w:eastAsia="黑体"/>
          <w:szCs w:val="21"/>
        </w:rPr>
      </w:pPr>
      <w:r>
        <w:rPr>
          <w:rFonts w:hint="eastAsia" w:ascii="黑体" w:hAnsi="黑体" w:eastAsia="黑体"/>
          <w:szCs w:val="21"/>
        </w:rPr>
        <w:t>图B.10   设备机身与设备机身之间（类别II）单通道构成示例</w:t>
      </w:r>
    </w:p>
    <w:p>
      <w:pPr>
        <w:ind w:firstLine="361"/>
        <w:jc w:val="center"/>
        <w:rPr>
          <w:rFonts w:ascii="宋体" w:hAnsi="宋体"/>
          <w:szCs w:val="21"/>
        </w:rPr>
      </w:pPr>
    </w:p>
    <w:p>
      <w:pPr>
        <w:ind w:firstLine="400"/>
        <w:rPr>
          <w:rFonts w:ascii="宋体" w:hAnsi="宋体"/>
          <w:sz w:val="20"/>
          <w:szCs w:val="20"/>
        </w:rPr>
      </w:pPr>
      <w:r>
        <w:rPr>
          <w:rFonts w:ascii="宋体" w:hAnsi="宋体"/>
          <w:sz w:val="20"/>
          <w:szCs w:val="20"/>
        </w:rPr>
        <w:t>c</w:t>
      </w:r>
      <w:r>
        <w:rPr>
          <w:rFonts w:hint="eastAsia" w:ascii="宋体" w:hAnsi="宋体"/>
          <w:sz w:val="20"/>
          <w:szCs w:val="20"/>
          <w:lang w:eastAsia="zh-CN"/>
        </w:rPr>
        <w:t>）</w:t>
      </w:r>
      <w:r>
        <w:rPr>
          <w:rFonts w:ascii="宋体" w:hAnsi="宋体"/>
          <w:szCs w:val="21"/>
        </w:rPr>
        <w:t>设备机身与构筑物（墙体或护栏等建筑设施）之间构成的单通道形态，如图</w:t>
      </w:r>
      <w:r>
        <w:rPr>
          <w:rFonts w:hint="eastAsia"/>
        </w:rPr>
        <w:t>B.11</w:t>
      </w:r>
      <w:r>
        <w:rPr>
          <w:rFonts w:ascii="宋体" w:hAnsi="宋体"/>
          <w:szCs w:val="21"/>
        </w:rPr>
        <w:t>所示；</w:t>
      </w:r>
    </w:p>
    <w:p>
      <w:pPr>
        <w:rPr>
          <w:rFonts w:ascii="宋体" w:hAnsi="宋体"/>
          <w:sz w:val="20"/>
          <w:szCs w:val="20"/>
        </w:rPr>
      </w:pPr>
      <w:r>
        <w:drawing>
          <wp:inline distT="0" distB="0" distL="0" distR="0">
            <wp:extent cx="4900930" cy="2510155"/>
            <wp:effectExtent l="0" t="0" r="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noChangeArrowheads="1"/>
                    </pic:cNvPicPr>
                  </pic:nvPicPr>
                  <pic:blipFill>
                    <a:blip r:embed="rId29">
                      <a:extLst>
                        <a:ext uri="{28A0092B-C50C-407E-A947-70E740481C1C}">
                          <a14:useLocalDpi xmlns:a14="http://schemas.microsoft.com/office/drawing/2010/main" val="0"/>
                        </a:ext>
                      </a:extLst>
                    </a:blip>
                    <a:srcRect t="9505" b="13435"/>
                    <a:stretch>
                      <a:fillRect/>
                    </a:stretch>
                  </pic:blipFill>
                  <pic:spPr>
                    <a:xfrm>
                      <a:off x="0" y="0"/>
                      <a:ext cx="4900930" cy="2510155"/>
                    </a:xfrm>
                    <a:prstGeom prst="rect">
                      <a:avLst/>
                    </a:prstGeom>
                    <a:noFill/>
                    <a:ln>
                      <a:noFill/>
                    </a:ln>
                  </pic:spPr>
                </pic:pic>
              </a:graphicData>
            </a:graphic>
          </wp:inline>
        </w:drawing>
      </w:r>
    </w:p>
    <w:p>
      <w:r>
        <w:rPr>
          <w:rFonts w:hint="eastAsia" w:ascii="宋体" w:hAnsi="宋体"/>
          <w:sz w:val="20"/>
          <w:szCs w:val="20"/>
        </w:rPr>
        <w:t xml:space="preserve">            </w:t>
      </w:r>
      <w:r>
        <w:rPr>
          <w:rFonts w:ascii="宋体" w:hAnsi="宋体"/>
          <w:sz w:val="20"/>
          <w:szCs w:val="20"/>
        </w:rPr>
        <w:t>a</w:t>
      </w:r>
      <w:r>
        <w:rPr>
          <w:rFonts w:hint="eastAsia" w:ascii="宋体" w:hAnsi="宋体"/>
          <w:sz w:val="20"/>
          <w:szCs w:val="20"/>
        </w:rPr>
        <w:t xml:space="preserve">）主视图                                  </w:t>
      </w:r>
      <w:r>
        <w:rPr>
          <w:rFonts w:ascii="宋体" w:hAnsi="宋体"/>
          <w:sz w:val="20"/>
          <w:szCs w:val="20"/>
        </w:rPr>
        <w:t>b</w:t>
      </w:r>
      <w:r>
        <w:rPr>
          <w:rFonts w:hint="eastAsia" w:ascii="宋体" w:hAnsi="宋体"/>
          <w:sz w:val="20"/>
          <w:szCs w:val="20"/>
        </w:rPr>
        <w:t>）俯视图</w:t>
      </w:r>
    </w:p>
    <w:p>
      <w:pPr>
        <w:jc w:val="center"/>
        <w:rPr>
          <w:rFonts w:ascii="黑体" w:hAnsi="黑体" w:eastAsia="黑体"/>
          <w:szCs w:val="21"/>
        </w:rPr>
      </w:pPr>
      <w:r>
        <w:rPr>
          <w:rFonts w:hint="eastAsia" w:ascii="黑体" w:hAnsi="黑体" w:eastAsia="黑体"/>
          <w:szCs w:val="21"/>
        </w:rPr>
        <w:t>图B.11</w:t>
      </w:r>
      <w:r>
        <w:rPr>
          <w:rFonts w:hint="eastAsia" w:ascii="黑体" w:hAnsi="黑体" w:eastAsia="黑体"/>
          <w:szCs w:val="21"/>
        </w:rPr>
        <w:tab/>
      </w:r>
      <w:r>
        <w:rPr>
          <w:rFonts w:hint="eastAsia" w:ascii="黑体" w:hAnsi="黑体" w:eastAsia="黑体"/>
          <w:szCs w:val="21"/>
        </w:rPr>
        <w:t>设备机身与构筑物之间单通道构成示例</w:t>
      </w:r>
    </w:p>
    <w:p>
      <w:pPr>
        <w:ind w:firstLine="361"/>
        <w:jc w:val="center"/>
        <w:rPr>
          <w:rFonts w:ascii="宋体" w:hAnsi="宋体"/>
          <w:b/>
          <w:szCs w:val="21"/>
        </w:rPr>
      </w:pPr>
    </w:p>
    <w:p>
      <w:pPr>
        <w:ind w:firstLine="400"/>
        <w:rPr>
          <w:sz w:val="22"/>
          <w:szCs w:val="28"/>
        </w:rPr>
      </w:pPr>
      <w:r>
        <w:rPr>
          <w:rFonts w:ascii="宋体" w:hAnsi="宋体"/>
          <w:sz w:val="20"/>
          <w:szCs w:val="20"/>
        </w:rPr>
        <w:t>d</w:t>
      </w:r>
      <w:r>
        <w:rPr>
          <w:rFonts w:hint="eastAsia" w:ascii="宋体" w:hAnsi="宋体"/>
          <w:szCs w:val="21"/>
          <w:lang w:eastAsia="zh-CN"/>
        </w:rPr>
        <w:t>）</w:t>
      </w:r>
      <w:r>
        <w:rPr>
          <w:rFonts w:ascii="宋体" w:hAnsi="宋体"/>
          <w:szCs w:val="21"/>
        </w:rPr>
        <w:t>多个设备机身之间构成的多通道形态，如图</w:t>
      </w:r>
      <w:r>
        <w:rPr>
          <w:rFonts w:hint="eastAsia"/>
        </w:rPr>
        <w:t>B.12</w:t>
      </w:r>
      <w:r>
        <w:rPr>
          <w:rFonts w:ascii="宋体" w:hAnsi="宋体"/>
          <w:szCs w:val="21"/>
        </w:rPr>
        <w:t>所示；</w:t>
      </w:r>
    </w:p>
    <w:p>
      <w:pPr>
        <w:jc w:val="center"/>
        <w:rPr>
          <w:rFonts w:ascii="宋体" w:hAnsi="宋体"/>
          <w:sz w:val="20"/>
          <w:szCs w:val="20"/>
        </w:rPr>
      </w:pPr>
      <w:r>
        <w:drawing>
          <wp:inline distT="0" distB="0" distL="0" distR="0">
            <wp:extent cx="4210050" cy="1314450"/>
            <wp:effectExtent l="0" t="0" r="0" b="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noChangeArrowheads="1"/>
                    </pic:cNvPicPr>
                  </pic:nvPicPr>
                  <pic:blipFill>
                    <a:blip r:embed="rId30">
                      <a:extLst>
                        <a:ext uri="{28A0092B-C50C-407E-A947-70E740481C1C}">
                          <a14:useLocalDpi xmlns:a14="http://schemas.microsoft.com/office/drawing/2010/main" val="0"/>
                        </a:ext>
                      </a:extLst>
                    </a:blip>
                    <a:srcRect t="5362" r="510" b="62549"/>
                    <a:stretch>
                      <a:fillRect/>
                    </a:stretch>
                  </pic:blipFill>
                  <pic:spPr>
                    <a:xfrm>
                      <a:off x="0" y="0"/>
                      <a:ext cx="4210050" cy="1314450"/>
                    </a:xfrm>
                    <a:prstGeom prst="rect">
                      <a:avLst/>
                    </a:prstGeom>
                    <a:noFill/>
                    <a:ln>
                      <a:noFill/>
                    </a:ln>
                  </pic:spPr>
                </pic:pic>
              </a:graphicData>
            </a:graphic>
          </wp:inline>
        </w:drawing>
      </w:r>
    </w:p>
    <w:p>
      <w:pPr>
        <w:jc w:val="center"/>
        <w:rPr>
          <w:rFonts w:ascii="宋体" w:hAnsi="宋体"/>
          <w:sz w:val="20"/>
          <w:szCs w:val="20"/>
        </w:rPr>
      </w:pPr>
      <w:r>
        <w:t>a</w:t>
      </w:r>
      <w:r>
        <w:rPr>
          <w:rFonts w:hint="eastAsia"/>
        </w:rPr>
        <w:t>）主视图</w:t>
      </w:r>
    </w:p>
    <w:p>
      <w:pPr>
        <w:ind w:firstLine="420"/>
      </w:pPr>
    </w:p>
    <w:p>
      <w:pPr>
        <w:jc w:val="center"/>
      </w:pPr>
      <w:r>
        <w:drawing>
          <wp:inline distT="0" distB="0" distL="0" distR="0">
            <wp:extent cx="4234180" cy="2276475"/>
            <wp:effectExtent l="0" t="0" r="0" b="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noChangeArrowheads="1"/>
                    </pic:cNvPicPr>
                  </pic:nvPicPr>
                  <pic:blipFill>
                    <a:blip r:embed="rId30">
                      <a:extLst>
                        <a:ext uri="{28A0092B-C50C-407E-A947-70E740481C1C}">
                          <a14:useLocalDpi xmlns:a14="http://schemas.microsoft.com/office/drawing/2010/main" val="0"/>
                        </a:ext>
                      </a:extLst>
                    </a:blip>
                    <a:srcRect t="43210" b="1611"/>
                    <a:stretch>
                      <a:fillRect/>
                    </a:stretch>
                  </pic:blipFill>
                  <pic:spPr>
                    <a:xfrm>
                      <a:off x="0" y="0"/>
                      <a:ext cx="4234180" cy="2276475"/>
                    </a:xfrm>
                    <a:prstGeom prst="rect">
                      <a:avLst/>
                    </a:prstGeom>
                    <a:noFill/>
                    <a:ln>
                      <a:noFill/>
                    </a:ln>
                  </pic:spPr>
                </pic:pic>
              </a:graphicData>
            </a:graphic>
          </wp:inline>
        </w:drawing>
      </w:r>
    </w:p>
    <w:p>
      <w:pPr>
        <w:jc w:val="center"/>
      </w:pPr>
      <w:r>
        <w:rPr>
          <w:rFonts w:ascii="宋体" w:hAnsi="宋体"/>
          <w:sz w:val="20"/>
          <w:szCs w:val="20"/>
        </w:rPr>
        <w:t>b</w:t>
      </w:r>
      <w:r>
        <w:rPr>
          <w:rFonts w:hint="eastAsia" w:ascii="宋体" w:hAnsi="宋体"/>
          <w:sz w:val="20"/>
          <w:szCs w:val="20"/>
        </w:rPr>
        <w:t>） 俯视图</w:t>
      </w:r>
    </w:p>
    <w:p>
      <w:pPr>
        <w:jc w:val="center"/>
        <w:rPr>
          <w:rFonts w:ascii="黑体" w:hAnsi="黑体" w:eastAsia="黑体"/>
          <w:szCs w:val="21"/>
        </w:rPr>
      </w:pPr>
      <w:r>
        <w:rPr>
          <w:rFonts w:hint="eastAsia" w:ascii="黑体" w:hAnsi="黑体" w:eastAsia="黑体"/>
          <w:szCs w:val="21"/>
        </w:rPr>
        <w:t>图B.12</w:t>
      </w:r>
      <w:r>
        <w:rPr>
          <w:rFonts w:hint="eastAsia" w:ascii="黑体" w:hAnsi="黑体" w:eastAsia="黑体"/>
          <w:szCs w:val="21"/>
        </w:rPr>
        <w:tab/>
      </w:r>
      <w:r>
        <w:rPr>
          <w:rFonts w:hint="eastAsia" w:ascii="黑体" w:hAnsi="黑体" w:eastAsia="黑体"/>
          <w:szCs w:val="21"/>
        </w:rPr>
        <w:t>多个设备机身之间多通道构成示例</w:t>
      </w:r>
    </w:p>
    <w:p>
      <w:pPr>
        <w:ind w:firstLine="361"/>
        <w:jc w:val="center"/>
        <w:rPr>
          <w:rFonts w:ascii="宋体" w:hAnsi="宋体"/>
          <w:szCs w:val="21"/>
        </w:rPr>
      </w:pPr>
    </w:p>
    <w:p>
      <w:pPr>
        <w:ind w:firstLine="400"/>
        <w:rPr>
          <w:rFonts w:ascii="宋体" w:hAnsi="宋体"/>
          <w:sz w:val="20"/>
          <w:szCs w:val="20"/>
        </w:rPr>
      </w:pPr>
      <w:r>
        <w:rPr>
          <w:rFonts w:ascii="宋体" w:hAnsi="宋体"/>
          <w:sz w:val="20"/>
          <w:szCs w:val="20"/>
        </w:rPr>
        <w:t>e</w:t>
      </w:r>
      <w:r>
        <w:rPr>
          <w:rFonts w:hint="eastAsia" w:ascii="宋体" w:hAnsi="宋体"/>
          <w:szCs w:val="21"/>
          <w:lang w:eastAsia="zh-CN"/>
        </w:rPr>
        <w:t>）</w:t>
      </w:r>
      <w:r>
        <w:rPr>
          <w:rFonts w:ascii="宋体" w:hAnsi="宋体"/>
          <w:szCs w:val="21"/>
        </w:rPr>
        <w:t>多个设备机身与构筑物（墙体或护栏等建筑设施）之间构成的多通道形态，如图</w:t>
      </w:r>
      <w:r>
        <w:rPr>
          <w:rFonts w:hint="eastAsia"/>
        </w:rPr>
        <w:t>B.13</w:t>
      </w:r>
      <w:r>
        <w:rPr>
          <w:rFonts w:ascii="宋体" w:hAnsi="宋体"/>
          <w:szCs w:val="21"/>
        </w:rPr>
        <w:t>所示；</w:t>
      </w:r>
    </w:p>
    <w:p/>
    <w:p>
      <w:pPr>
        <w:jc w:val="center"/>
      </w:pPr>
      <w:r>
        <w:drawing>
          <wp:inline distT="0" distB="0" distL="0" distR="0">
            <wp:extent cx="4124325" cy="1181100"/>
            <wp:effectExtent l="0" t="0" r="0" b="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noChangeArrowheads="1"/>
                    </pic:cNvPicPr>
                  </pic:nvPicPr>
                  <pic:blipFill>
                    <a:blip r:embed="rId31">
                      <a:extLst>
                        <a:ext uri="{28A0092B-C50C-407E-A947-70E740481C1C}">
                          <a14:useLocalDpi xmlns:a14="http://schemas.microsoft.com/office/drawing/2010/main" val="0"/>
                        </a:ext>
                      </a:extLst>
                    </a:blip>
                    <a:srcRect t="3577" b="63605"/>
                    <a:stretch>
                      <a:fillRect/>
                    </a:stretch>
                  </pic:blipFill>
                  <pic:spPr>
                    <a:xfrm>
                      <a:off x="0" y="0"/>
                      <a:ext cx="4124325" cy="1181100"/>
                    </a:xfrm>
                    <a:prstGeom prst="rect">
                      <a:avLst/>
                    </a:prstGeom>
                    <a:noFill/>
                    <a:ln>
                      <a:noFill/>
                    </a:ln>
                  </pic:spPr>
                </pic:pic>
              </a:graphicData>
            </a:graphic>
          </wp:inline>
        </w:drawing>
      </w:r>
    </w:p>
    <w:p>
      <w:pPr>
        <w:jc w:val="center"/>
        <w:rPr>
          <w:szCs w:val="21"/>
        </w:rPr>
      </w:pPr>
      <w:r>
        <w:rPr>
          <w:szCs w:val="21"/>
        </w:rPr>
        <w:t>a</w:t>
      </w:r>
      <w:r>
        <w:rPr>
          <w:rFonts w:hint="eastAsia"/>
          <w:szCs w:val="21"/>
        </w:rPr>
        <w:t>）主视图</w:t>
      </w:r>
    </w:p>
    <w:p>
      <w:pPr>
        <w:jc w:val="center"/>
        <w:rPr>
          <w:rFonts w:ascii="宋体" w:hAnsi="宋体"/>
          <w:sz w:val="20"/>
          <w:szCs w:val="20"/>
        </w:rPr>
      </w:pPr>
      <w:r>
        <w:drawing>
          <wp:inline distT="0" distB="0" distL="0" distR="0">
            <wp:extent cx="4124325" cy="1995805"/>
            <wp:effectExtent l="0" t="0" r="0" b="0"/>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noChangeArrowheads="1"/>
                    </pic:cNvPicPr>
                  </pic:nvPicPr>
                  <pic:blipFill>
                    <a:blip r:embed="rId31">
                      <a:extLst>
                        <a:ext uri="{28A0092B-C50C-407E-A947-70E740481C1C}">
                          <a14:useLocalDpi xmlns:a14="http://schemas.microsoft.com/office/drawing/2010/main" val="0"/>
                        </a:ext>
                      </a:extLst>
                    </a:blip>
                    <a:srcRect t="41953" b="2579"/>
                    <a:stretch>
                      <a:fillRect/>
                    </a:stretch>
                  </pic:blipFill>
                  <pic:spPr>
                    <a:xfrm>
                      <a:off x="0" y="0"/>
                      <a:ext cx="4124325" cy="1995805"/>
                    </a:xfrm>
                    <a:prstGeom prst="rect">
                      <a:avLst/>
                    </a:prstGeom>
                    <a:noFill/>
                    <a:ln>
                      <a:noFill/>
                    </a:ln>
                  </pic:spPr>
                </pic:pic>
              </a:graphicData>
            </a:graphic>
          </wp:inline>
        </w:drawing>
      </w:r>
    </w:p>
    <w:p>
      <w:pPr>
        <w:jc w:val="center"/>
        <w:rPr>
          <w:rFonts w:ascii="宋体" w:hAnsi="宋体"/>
          <w:sz w:val="20"/>
          <w:szCs w:val="20"/>
        </w:rPr>
      </w:pPr>
      <w:r>
        <w:rPr>
          <w:rFonts w:ascii="宋体" w:hAnsi="宋体"/>
          <w:sz w:val="20"/>
          <w:szCs w:val="20"/>
        </w:rPr>
        <w:t>b</w:t>
      </w:r>
      <w:r>
        <w:rPr>
          <w:rFonts w:hint="eastAsia" w:ascii="宋体" w:hAnsi="宋体"/>
          <w:sz w:val="20"/>
          <w:szCs w:val="20"/>
        </w:rPr>
        <w:t>） 俯视图</w:t>
      </w:r>
    </w:p>
    <w:p>
      <w:pPr>
        <w:jc w:val="center"/>
        <w:rPr>
          <w:rFonts w:ascii="黑体" w:hAnsi="黑体" w:eastAsia="黑体"/>
          <w:szCs w:val="21"/>
        </w:rPr>
      </w:pPr>
      <w:r>
        <w:rPr>
          <w:rFonts w:hint="eastAsia" w:ascii="黑体" w:hAnsi="黑体" w:eastAsia="黑体"/>
          <w:szCs w:val="21"/>
        </w:rPr>
        <w:t>图B.13</w:t>
      </w:r>
      <w:r>
        <w:rPr>
          <w:rFonts w:hint="eastAsia" w:ascii="黑体" w:hAnsi="黑体" w:eastAsia="黑体"/>
          <w:szCs w:val="21"/>
        </w:rPr>
        <w:tab/>
      </w:r>
      <w:r>
        <w:rPr>
          <w:rFonts w:hint="eastAsia" w:ascii="黑体" w:hAnsi="黑体" w:eastAsia="黑体"/>
          <w:szCs w:val="21"/>
        </w:rPr>
        <w:t>多个设备机身与构筑物之间多通道构成示例</w:t>
      </w:r>
    </w:p>
    <w:p>
      <w:pPr>
        <w:ind w:firstLine="361"/>
        <w:jc w:val="center"/>
        <w:rPr>
          <w:rFonts w:ascii="宋体" w:hAnsi="宋体"/>
          <w:szCs w:val="21"/>
        </w:rPr>
      </w:pPr>
    </w:p>
    <w:p>
      <w:pPr>
        <w:ind w:firstLine="420"/>
        <w:rPr>
          <w:rFonts w:ascii="宋体" w:hAnsi="宋体"/>
          <w:szCs w:val="21"/>
        </w:rPr>
      </w:pPr>
      <w:r>
        <w:rPr>
          <w:rFonts w:hint="eastAsia" w:ascii="宋体" w:hAnsi="宋体"/>
          <w:szCs w:val="21"/>
        </w:rPr>
        <w:t>f</w:t>
      </w:r>
      <w:r>
        <w:rPr>
          <w:rFonts w:hint="eastAsia" w:ascii="宋体" w:hAnsi="宋体"/>
          <w:szCs w:val="21"/>
          <w:lang w:eastAsia="zh-CN"/>
        </w:rPr>
        <w:t>）</w:t>
      </w:r>
      <w:r>
        <w:rPr>
          <w:rFonts w:ascii="宋体" w:hAnsi="宋体"/>
          <w:szCs w:val="21"/>
        </w:rPr>
        <w:t>其他通道形态，比如混合了上述各种通道形态的情况。</w:t>
      </w:r>
    </w:p>
    <w:p>
      <w:pPr>
        <w:pStyle w:val="47"/>
        <w:tabs>
          <w:tab w:val="left" w:pos="360"/>
        </w:tabs>
        <w:wordWrap/>
        <w:spacing w:before="156" w:after="156"/>
        <w:rPr>
          <w:szCs w:val="21"/>
        </w:rPr>
      </w:pPr>
      <w:r>
        <w:rPr>
          <w:rStyle w:val="24"/>
          <w:rFonts w:hint="default" w:ascii="黑体" w:hAnsi="黑体" w:eastAsia="黑体"/>
          <w:color w:val="auto"/>
          <w:sz w:val="21"/>
          <w:szCs w:val="21"/>
        </w:rPr>
        <w:t>人行出入口验票通道闸产品尺寸要求</w:t>
      </w:r>
    </w:p>
    <w:p>
      <w:pPr>
        <w:pStyle w:val="50"/>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设备结构尺寸</w:t>
      </w:r>
    </w:p>
    <w:p>
      <w:pPr>
        <w:ind w:firstLine="420"/>
        <w:rPr>
          <w:rFonts w:ascii="宋体" w:hAnsi="宋体"/>
          <w:szCs w:val="21"/>
        </w:rPr>
      </w:pPr>
      <w:r>
        <w:rPr>
          <w:rFonts w:ascii="宋体" w:hAnsi="宋体"/>
          <w:szCs w:val="21"/>
        </w:rPr>
        <w:t>可在产品说明书或技术手册中明示各类型</w:t>
      </w:r>
      <w:r>
        <w:rPr>
          <w:rFonts w:hint="eastAsia" w:ascii="宋体" w:hAnsi="宋体"/>
          <w:szCs w:val="21"/>
        </w:rPr>
        <w:t>验票</w:t>
      </w:r>
      <w:r>
        <w:rPr>
          <w:rFonts w:ascii="宋体" w:hAnsi="宋体"/>
          <w:szCs w:val="21"/>
        </w:rPr>
        <w:t>通道闸在安装后，与有效高度和拦挡空间相关的结构尺寸，参见图</w:t>
      </w:r>
      <w:r>
        <w:rPr>
          <w:rFonts w:hint="eastAsia"/>
        </w:rPr>
        <w:t>B.14</w:t>
      </w:r>
      <w:r>
        <w:rPr>
          <w:rFonts w:ascii="宋体" w:hAnsi="宋体"/>
          <w:szCs w:val="21"/>
        </w:rPr>
        <w:t>，包括：</w:t>
      </w:r>
    </w:p>
    <w:p>
      <w:pPr>
        <w:pStyle w:val="49"/>
        <w:numPr>
          <w:ilvl w:val="0"/>
          <w:numId w:val="16"/>
        </w:numPr>
        <w:rPr>
          <w:rFonts w:ascii="宋体" w:hAnsi="宋体" w:cs="宋体"/>
          <w:b w:val="0"/>
          <w:bCs w:val="0"/>
          <w:szCs w:val="21"/>
        </w:rPr>
      </w:pPr>
      <w:r>
        <w:rPr>
          <w:rFonts w:hint="eastAsia" w:ascii="宋体" w:hAnsi="宋体" w:cs="宋体"/>
          <w:b w:val="0"/>
          <w:bCs w:val="0"/>
          <w:szCs w:val="21"/>
        </w:rPr>
        <w:t>设备机身安装后，机身顶端至预设地面的有效高度h，应为900mm≤h≤1200mm;</w:t>
      </w:r>
    </w:p>
    <w:p>
      <w:pPr>
        <w:pStyle w:val="49"/>
        <w:numPr>
          <w:ilvl w:val="0"/>
          <w:numId w:val="16"/>
        </w:numPr>
        <w:rPr>
          <w:rFonts w:ascii="宋体" w:hAnsi="宋体" w:cs="宋体"/>
          <w:b w:val="0"/>
          <w:bCs w:val="0"/>
          <w:szCs w:val="21"/>
        </w:rPr>
      </w:pPr>
      <w:r>
        <w:rPr>
          <w:rFonts w:hint="eastAsia" w:ascii="宋体" w:hAnsi="宋体" w:cs="宋体"/>
          <w:b w:val="0"/>
          <w:bCs w:val="0"/>
          <w:szCs w:val="21"/>
        </w:rPr>
        <w:t>拦挡部分上沿至预设地面的有效高度h</w:t>
      </w:r>
      <w:r>
        <w:rPr>
          <w:rFonts w:hint="eastAsia" w:ascii="宋体" w:hAnsi="宋体" w:cs="宋体"/>
          <w:b w:val="0"/>
          <w:bCs w:val="0"/>
          <w:szCs w:val="21"/>
          <w:vertAlign w:val="subscript"/>
        </w:rPr>
        <w:t>1</w:t>
      </w:r>
      <w:r>
        <w:rPr>
          <w:rFonts w:hint="eastAsia" w:ascii="宋体" w:hAnsi="宋体" w:cs="宋体"/>
          <w:b w:val="0"/>
          <w:bCs w:val="0"/>
          <w:szCs w:val="21"/>
        </w:rPr>
        <w:t>，拦挡部分底端至预设地面的有效高度h</w:t>
      </w:r>
      <w:r>
        <w:rPr>
          <w:rFonts w:hint="eastAsia" w:ascii="宋体" w:hAnsi="宋体" w:cs="宋体"/>
          <w:b w:val="0"/>
          <w:bCs w:val="0"/>
          <w:szCs w:val="21"/>
          <w:vertAlign w:val="subscript"/>
        </w:rPr>
        <w:t>2</w:t>
      </w:r>
      <w:r>
        <w:rPr>
          <w:rFonts w:hint="eastAsia" w:ascii="宋体" w:hAnsi="宋体" w:cs="宋体"/>
          <w:b w:val="0"/>
          <w:bCs w:val="0"/>
          <w:szCs w:val="21"/>
        </w:rPr>
        <w:t>，应为h</w:t>
      </w:r>
      <w:r>
        <w:rPr>
          <w:rFonts w:hint="eastAsia" w:ascii="宋体" w:hAnsi="宋体" w:cs="宋体"/>
          <w:b w:val="0"/>
          <w:bCs w:val="0"/>
          <w:szCs w:val="21"/>
          <w:vertAlign w:val="subscript"/>
        </w:rPr>
        <w:t>1</w:t>
      </w:r>
      <w:r>
        <w:rPr>
          <w:rFonts w:hint="eastAsia" w:ascii="宋体" w:hAnsi="宋体" w:cs="宋体"/>
          <w:b w:val="0"/>
          <w:bCs w:val="0"/>
          <w:szCs w:val="21"/>
        </w:rPr>
        <w:t>≥700mm，h</w:t>
      </w:r>
      <w:r>
        <w:rPr>
          <w:rFonts w:hint="eastAsia" w:ascii="宋体" w:hAnsi="宋体" w:cs="宋体"/>
          <w:b w:val="0"/>
          <w:bCs w:val="0"/>
          <w:szCs w:val="21"/>
          <w:vertAlign w:val="subscript"/>
        </w:rPr>
        <w:t>2</w:t>
      </w:r>
      <w:r>
        <w:rPr>
          <w:rFonts w:hint="eastAsia" w:ascii="宋体" w:hAnsi="宋体" w:cs="宋体"/>
          <w:b w:val="0"/>
          <w:bCs w:val="0"/>
          <w:szCs w:val="21"/>
        </w:rPr>
        <w:t>≤800mm，且h</w:t>
      </w:r>
      <w:r>
        <w:rPr>
          <w:rFonts w:hint="eastAsia" w:ascii="宋体" w:hAnsi="宋体" w:cs="宋体"/>
          <w:b w:val="0"/>
          <w:bCs w:val="0"/>
          <w:szCs w:val="21"/>
          <w:vertAlign w:val="subscript"/>
        </w:rPr>
        <w:t>1</w:t>
      </w:r>
      <w:r>
        <w:rPr>
          <w:rFonts w:hint="eastAsia" w:ascii="宋体" w:hAnsi="宋体" w:cs="宋体"/>
          <w:b w:val="0"/>
          <w:bCs w:val="0"/>
          <w:szCs w:val="21"/>
        </w:rPr>
        <w:t>-h</w:t>
      </w:r>
      <w:r>
        <w:rPr>
          <w:rFonts w:hint="eastAsia" w:ascii="宋体" w:hAnsi="宋体" w:cs="宋体"/>
          <w:b w:val="0"/>
          <w:bCs w:val="0"/>
          <w:szCs w:val="21"/>
          <w:vertAlign w:val="subscript"/>
        </w:rPr>
        <w:t>2</w:t>
      </w:r>
      <w:r>
        <w:rPr>
          <w:rFonts w:hint="eastAsia" w:ascii="宋体" w:hAnsi="宋体" w:cs="宋体"/>
          <w:b w:val="0"/>
          <w:bCs w:val="0"/>
          <w:szCs w:val="21"/>
        </w:rPr>
        <w:t>≥25mm。</w:t>
      </w:r>
    </w:p>
    <w:p>
      <w:pPr>
        <w:pStyle w:val="49"/>
        <w:numPr>
          <w:ilvl w:val="0"/>
          <w:numId w:val="0"/>
        </w:numPr>
        <w:jc w:val="center"/>
      </w:pPr>
      <w:r>
        <w:drawing>
          <wp:inline distT="0" distB="0" distL="0" distR="0">
            <wp:extent cx="3943350" cy="2038350"/>
            <wp:effectExtent l="0" t="0" r="0" b="0"/>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pic:cNvPicPr>
                      <a:picLocks noChangeAspect="1" noChangeArrowheads="1"/>
                    </pic:cNvPicPr>
                  </pic:nvPicPr>
                  <pic:blipFill>
                    <a:blip r:embed="rId32">
                      <a:extLst>
                        <a:ext uri="{28A0092B-C50C-407E-A947-70E740481C1C}">
                          <a14:useLocalDpi xmlns:a14="http://schemas.microsoft.com/office/drawing/2010/main" val="0"/>
                        </a:ext>
                      </a:extLst>
                    </a:blip>
                    <a:srcRect t="7675" b="7309"/>
                    <a:stretch>
                      <a:fillRect/>
                    </a:stretch>
                  </pic:blipFill>
                  <pic:spPr>
                    <a:xfrm>
                      <a:off x="0" y="0"/>
                      <a:ext cx="3943350" cy="2038350"/>
                    </a:xfrm>
                    <a:prstGeom prst="rect">
                      <a:avLst/>
                    </a:prstGeom>
                    <a:noFill/>
                    <a:ln>
                      <a:noFill/>
                    </a:ln>
                  </pic:spPr>
                </pic:pic>
              </a:graphicData>
            </a:graphic>
          </wp:inline>
        </w:drawing>
      </w:r>
    </w:p>
    <w:p>
      <w:pPr>
        <w:jc w:val="center"/>
        <w:rPr>
          <w:rFonts w:ascii="黑体" w:hAnsi="黑体" w:eastAsia="黑体"/>
          <w:szCs w:val="21"/>
        </w:rPr>
      </w:pPr>
      <w:r>
        <w:rPr>
          <w:rFonts w:hint="eastAsia" w:ascii="黑体" w:hAnsi="黑体" w:eastAsia="黑体"/>
          <w:szCs w:val="21"/>
        </w:rPr>
        <w:t>图B.14</w:t>
      </w:r>
      <w:r>
        <w:rPr>
          <w:rFonts w:hint="eastAsia" w:ascii="黑体" w:hAnsi="黑体" w:eastAsia="黑体"/>
          <w:szCs w:val="21"/>
        </w:rPr>
        <w:tab/>
      </w:r>
      <w:r>
        <w:rPr>
          <w:rFonts w:hint="eastAsia" w:ascii="黑体" w:hAnsi="黑体" w:eastAsia="黑体"/>
          <w:szCs w:val="21"/>
        </w:rPr>
        <w:t>设备机身和拦挡部分高度示意</w:t>
      </w:r>
    </w:p>
    <w:p>
      <w:pPr>
        <w:jc w:val="center"/>
        <w:rPr>
          <w:rFonts w:ascii="宋体" w:hAnsi="宋体"/>
          <w:szCs w:val="21"/>
        </w:rPr>
      </w:pPr>
    </w:p>
    <w:p>
      <w:pPr>
        <w:pStyle w:val="50"/>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通道宽度和拦挡长度</w:t>
      </w:r>
    </w:p>
    <w:p>
      <w:pPr>
        <w:ind w:left="4" w:firstLine="398"/>
        <w:rPr>
          <w:rFonts w:ascii="宋体" w:hAnsi="宋体"/>
          <w:szCs w:val="21"/>
        </w:rPr>
      </w:pPr>
      <w:r>
        <w:rPr>
          <w:rFonts w:ascii="宋体" w:hAnsi="宋体"/>
          <w:szCs w:val="21"/>
        </w:rPr>
        <w:t>设备安装的通道宽度根据通行情况而设定，仅供单人通行时，可设定为常规通道；如若由乘坐轮椅、携带大件物品等的人员通行，设定为宽通道。</w:t>
      </w:r>
    </w:p>
    <w:p>
      <w:pPr>
        <w:ind w:firstLine="420"/>
        <w:rPr>
          <w:rFonts w:ascii="宋体" w:hAnsi="宋体"/>
          <w:szCs w:val="21"/>
        </w:rPr>
      </w:pPr>
      <w:r>
        <w:rPr>
          <w:rFonts w:ascii="宋体" w:hAnsi="宋体"/>
          <w:szCs w:val="21"/>
        </w:rPr>
        <w:t>在产品说明书或技术手册中对设备安装后构成通道的两个拦挡部分之间、拦挡部分与构筑物（墙体或护栏等建筑设施</w:t>
      </w:r>
      <w:r>
        <w:rPr>
          <w:rFonts w:hint="eastAsia" w:ascii="宋体" w:hAnsi="宋体"/>
          <w:szCs w:val="21"/>
        </w:rPr>
        <w:t>）</w:t>
      </w:r>
      <w:r>
        <w:rPr>
          <w:rFonts w:ascii="宋体" w:hAnsi="宋体"/>
          <w:szCs w:val="21"/>
        </w:rPr>
        <w:t>之间的拦挡空隙间距进行规定，空隙间距推荐为</w:t>
      </w:r>
      <w:r>
        <w:rPr>
          <w:rFonts w:hint="eastAsia" w:ascii="宋体" w:hAnsi="宋体"/>
          <w:szCs w:val="21"/>
        </w:rPr>
        <w:t>w</w:t>
      </w:r>
      <w:r>
        <w:rPr>
          <w:rFonts w:hint="eastAsia" w:ascii="宋体" w:hAnsi="宋体"/>
          <w:szCs w:val="21"/>
          <w:vertAlign w:val="subscript"/>
        </w:rPr>
        <w:t>1</w:t>
      </w:r>
      <w:r>
        <w:rPr>
          <w:rFonts w:hint="eastAsia" w:ascii="宋体" w:hAnsi="宋体"/>
          <w:szCs w:val="21"/>
        </w:rPr>
        <w:t>≤1</w:t>
      </w:r>
      <w:r>
        <w:rPr>
          <w:rFonts w:ascii="宋体" w:hAnsi="宋体"/>
          <w:szCs w:val="21"/>
        </w:rPr>
        <w:t>10mm，参见图</w:t>
      </w:r>
      <w:r>
        <w:rPr>
          <w:rFonts w:hint="eastAsia"/>
        </w:rPr>
        <w:t>B.15</w:t>
      </w:r>
      <w:r>
        <w:rPr>
          <w:rFonts w:hint="eastAsia" w:ascii="宋体" w:hAnsi="宋体"/>
          <w:szCs w:val="21"/>
        </w:rPr>
        <w:t>。</w:t>
      </w:r>
    </w:p>
    <w:p>
      <w:pPr>
        <w:ind w:left="1417" w:leftChars="321" w:hanging="743" w:hangingChars="354"/>
        <w:rPr>
          <w:rFonts w:ascii="宋体" w:hAnsi="宋体"/>
          <w:szCs w:val="21"/>
        </w:rPr>
      </w:pPr>
      <w:r>
        <w:rPr>
          <w:rFonts w:ascii="宋体" w:hAnsi="宋体"/>
          <w:szCs w:val="21"/>
        </w:rPr>
        <w:t>说明：</w:t>
      </w:r>
    </w:p>
    <w:p>
      <w:pPr>
        <w:ind w:left="1417" w:leftChars="321" w:hanging="743" w:hangingChars="354"/>
        <w:rPr>
          <w:rFonts w:ascii="宋体" w:hAnsi="宋体"/>
          <w:szCs w:val="21"/>
        </w:rPr>
      </w:pPr>
      <w:r>
        <w:rPr>
          <w:rFonts w:hint="eastAsia" w:ascii="宋体" w:hAnsi="宋体"/>
          <w:i/>
          <w:szCs w:val="21"/>
        </w:rPr>
        <w:t>w</w:t>
      </w:r>
      <w:r>
        <w:rPr>
          <w:rFonts w:hint="eastAsia" w:ascii="宋体" w:hAnsi="宋体"/>
          <w:szCs w:val="21"/>
        </w:rPr>
        <w:t xml:space="preserve"> ——</w:t>
      </w:r>
      <w:r>
        <w:rPr>
          <w:rFonts w:ascii="宋体" w:hAnsi="宋体"/>
          <w:szCs w:val="21"/>
        </w:rPr>
        <w:t>通道宽度；</w:t>
      </w:r>
    </w:p>
    <w:p>
      <w:pPr>
        <w:ind w:left="1417" w:leftChars="321" w:hanging="743" w:hangingChars="354"/>
        <w:rPr>
          <w:rFonts w:ascii="宋体" w:hAnsi="宋体"/>
          <w:szCs w:val="21"/>
        </w:rPr>
      </w:pPr>
      <w:r>
        <w:rPr>
          <w:rFonts w:hint="eastAsia" w:ascii="宋体" w:hAnsi="宋体"/>
          <w:i/>
          <w:szCs w:val="21"/>
        </w:rPr>
        <w:t>w</w:t>
      </w:r>
      <w:r>
        <w:rPr>
          <w:rFonts w:hint="eastAsia" w:ascii="宋体" w:hAnsi="宋体"/>
          <w:i/>
          <w:szCs w:val="21"/>
          <w:vertAlign w:val="subscript"/>
        </w:rPr>
        <w:t>1</w:t>
      </w:r>
      <w:r>
        <w:rPr>
          <w:rFonts w:hint="eastAsia" w:ascii="宋体" w:hAnsi="宋体"/>
          <w:szCs w:val="21"/>
        </w:rPr>
        <w:t xml:space="preserve"> ——</w:t>
      </w:r>
      <w:r>
        <w:rPr>
          <w:rFonts w:ascii="宋体" w:hAnsi="宋体"/>
          <w:szCs w:val="21"/>
        </w:rPr>
        <w:t>构成通道的两个拦挡部分之间</w:t>
      </w:r>
      <w:r>
        <w:rPr>
          <w:rFonts w:hint="eastAsia" w:ascii="宋体" w:hAnsi="宋体"/>
          <w:szCs w:val="21"/>
        </w:rPr>
        <w:t>、</w:t>
      </w:r>
      <w:r>
        <w:rPr>
          <w:rFonts w:ascii="宋体" w:hAnsi="宋体"/>
          <w:szCs w:val="21"/>
        </w:rPr>
        <w:t>拦挡部分与构筑物（墙体或护栏等建筑设施）之间的空隙间距</w:t>
      </w:r>
      <w:r>
        <w:rPr>
          <w:rFonts w:hint="eastAsia" w:ascii="宋体" w:hAnsi="宋体"/>
          <w:szCs w:val="21"/>
        </w:rPr>
        <w:t>；</w:t>
      </w:r>
    </w:p>
    <w:p>
      <w:pPr>
        <w:ind w:left="1417" w:leftChars="321" w:hanging="743" w:hangingChars="354"/>
        <w:rPr>
          <w:rFonts w:ascii="宋体" w:hAnsi="宋体"/>
          <w:szCs w:val="21"/>
        </w:rPr>
      </w:pPr>
      <w:r>
        <w:rPr>
          <w:rFonts w:hint="eastAsia" w:ascii="宋体" w:hAnsi="宋体"/>
          <w:i/>
          <w:szCs w:val="21"/>
        </w:rPr>
        <w:t xml:space="preserve">l </w:t>
      </w:r>
      <w:r>
        <w:rPr>
          <w:rFonts w:hint="eastAsia" w:ascii="宋体" w:hAnsi="宋体"/>
          <w:szCs w:val="21"/>
        </w:rPr>
        <w:t>——</w:t>
      </w:r>
      <w:r>
        <w:rPr>
          <w:rFonts w:ascii="宋体" w:hAnsi="宋体"/>
          <w:szCs w:val="21"/>
        </w:rPr>
        <w:t>拦挡部分的拦挡长度</w:t>
      </w:r>
      <w:r>
        <w:rPr>
          <w:rFonts w:hint="eastAsia" w:ascii="宋体" w:hAnsi="宋体"/>
          <w:szCs w:val="21"/>
        </w:rPr>
        <w:t>。</w:t>
      </w:r>
    </w:p>
    <w:p>
      <w:pPr>
        <w:rPr>
          <w:rFonts w:ascii="宋体" w:hAnsi="宋体"/>
          <w:sz w:val="20"/>
          <w:szCs w:val="20"/>
        </w:rPr>
      </w:pPr>
      <w:r>
        <w:rPr>
          <w:rFonts w:hint="eastAsia" w:ascii="宋体" w:hAnsi="宋体"/>
          <w:sz w:val="20"/>
          <w:szCs w:val="20"/>
        </w:rPr>
        <mc:AlternateContent>
          <mc:Choice Requires="wpg">
            <w:drawing>
              <wp:inline distT="0" distB="0" distL="0" distR="0">
                <wp:extent cx="5372100" cy="1776730"/>
                <wp:effectExtent l="0" t="5080" r="0" b="0"/>
                <wp:docPr id="1" name="组合 80"/>
                <wp:cNvGraphicFramePr/>
                <a:graphic xmlns:a="http://schemas.openxmlformats.org/drawingml/2006/main">
                  <a:graphicData uri="http://schemas.microsoft.com/office/word/2010/wordprocessingGroup">
                    <wpg:wgp>
                      <wpg:cNvGrpSpPr/>
                      <wpg:grpSpPr>
                        <a:xfrm>
                          <a:off x="0" y="0"/>
                          <a:ext cx="5372100" cy="1776730"/>
                          <a:chOff x="0" y="0"/>
                          <a:chExt cx="4800600" cy="1776730"/>
                        </a:xfrm>
                      </wpg:grpSpPr>
                      <pic:pic xmlns:pic="http://schemas.openxmlformats.org/drawingml/2006/picture">
                        <pic:nvPicPr>
                          <pic:cNvPr id="2" name="图片 81"/>
                          <pic:cNvPicPr>
                            <a:picLocks noChangeAspect="1" noChangeArrowheads="1"/>
                          </pic:cNvPicPr>
                        </pic:nvPicPr>
                        <pic:blipFill>
                          <a:blip r:embed="rId33">
                            <a:extLst>
                              <a:ext uri="{28A0092B-C50C-407E-A947-70E740481C1C}">
                                <a14:useLocalDpi xmlns:a14="http://schemas.microsoft.com/office/drawing/2010/main" val="0"/>
                              </a:ext>
                            </a:extLst>
                          </a:blip>
                          <a:srcRect l="9055" t="8730" r="8255" b="8452"/>
                          <a:stretch>
                            <a:fillRect/>
                          </a:stretch>
                        </pic:blipFill>
                        <pic:spPr>
                          <a:xfrm>
                            <a:off x="2774315" y="62865"/>
                            <a:ext cx="2026285" cy="1713865"/>
                          </a:xfrm>
                          <a:prstGeom prst="rect">
                            <a:avLst/>
                          </a:prstGeom>
                          <a:noFill/>
                          <a:ln>
                            <a:noFill/>
                          </a:ln>
                        </pic:spPr>
                      </pic:pic>
                      <pic:pic xmlns:pic="http://schemas.openxmlformats.org/drawingml/2006/picture">
                        <pic:nvPicPr>
                          <pic:cNvPr id="3" name="图片 82"/>
                          <pic:cNvPicPr>
                            <a:picLocks noChangeAspect="1" noChangeArrowheads="1"/>
                          </pic:cNvPicPr>
                        </pic:nvPicPr>
                        <pic:blipFill>
                          <a:blip r:embed="rId34">
                            <a:extLst>
                              <a:ext uri="{28A0092B-C50C-407E-A947-70E740481C1C}">
                                <a14:useLocalDpi xmlns:a14="http://schemas.microsoft.com/office/drawing/2010/main" val="0"/>
                              </a:ext>
                            </a:extLst>
                          </a:blip>
                          <a:srcRect l="5853" t="5360" r="8430" b="12219"/>
                          <a:stretch>
                            <a:fillRect/>
                          </a:stretch>
                        </pic:blipFill>
                        <pic:spPr>
                          <a:xfrm>
                            <a:off x="0" y="0"/>
                            <a:ext cx="2188210" cy="1720215"/>
                          </a:xfrm>
                          <a:prstGeom prst="rect">
                            <a:avLst/>
                          </a:prstGeom>
                          <a:noFill/>
                          <a:ln>
                            <a:noFill/>
                          </a:ln>
                        </pic:spPr>
                      </pic:pic>
                    </wpg:wgp>
                  </a:graphicData>
                </a:graphic>
              </wp:inline>
            </w:drawing>
          </mc:Choice>
          <mc:Fallback>
            <w:pict>
              <v:group id="组合 80" o:spid="_x0000_s1026" o:spt="203" style="height:139.9pt;width:423pt;" coordsize="4800600,1776730" o:gfxdata="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">
                <o:lock v:ext="edit" aspectratio="f"/>
                <v:shape id="图片 81" o:spid="_x0000_s1026" o:spt="75" type="#_x0000_t75" style="position:absolute;left:2774315;top:62865;height:1713865;width:2026285;" filled="f" o:preferrelative="t" stroked="f" coordsize="21600,21600" o:gfxdata="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dxkorgAAADaAAAA&#10;DwAAAAAAAAABACAAAAAiAAAAZHJzL2Rvd25yZXYueG1sUEsBAhQAFAAAAAgAh07iQDMvBZ47AAAA&#10;OQAAABAAAAAAAAAAAQAgAAAABwEAAGRycy9zaGFwZXhtbC54bWxQSwUGAAAAAAYABgBbAQAAsQMA&#10;AAAA&#10;">
                  <v:fill on="f" focussize="0,0"/>
                  <v:stroke on="f"/>
                  <v:imagedata r:id="rId33" cropleft="5934f" croptop="5721f" cropright="5410f" cropbottom="5539f" o:title=""/>
                  <o:lock v:ext="edit" aspectratio="t"/>
                </v:shape>
                <v:shape id="图片 82" o:spid="_x0000_s1026" o:spt="75" type="#_x0000_t75" style="position:absolute;left:0;top:0;height:1720215;width:2188210;" filled="f" o:preferrelative="t" stroked="f" coordsize="21600,21600" o:gfxdata="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KUdwugAAANoA&#10;AAAPAAAAAAAAAAEAIAAAACIAAABkcnMvZG93bnJldi54bWxQSwECFAAUAAAACACHTuJAMy8FnjsA&#10;AAA5AAAAEAAAAAAAAAABACAAAAAJAQAAZHJzL3NoYXBleG1sLnhtbFBLBQYAAAAABgAGAFsBAACz&#10;AwAAAAA=&#10;">
                  <v:fill on="f" focussize="0,0"/>
                  <v:stroke on="f"/>
                  <v:imagedata r:id="rId34" cropleft="3836f" croptop="3513f" cropright="5525f" cropbottom="8008f" o:title=""/>
                  <o:lock v:ext="edit" aspectratio="t"/>
                </v:shape>
                <w10:wrap type="none"/>
                <w10:anchorlock/>
              </v:group>
            </w:pict>
          </mc:Fallback>
        </mc:AlternateContent>
      </w:r>
    </w:p>
    <w:p>
      <w:pPr>
        <w:jc w:val="center"/>
        <w:rPr>
          <w:rFonts w:ascii="黑体" w:hAnsi="黑体" w:eastAsia="黑体"/>
          <w:szCs w:val="21"/>
        </w:rPr>
      </w:pPr>
      <w:r>
        <w:rPr>
          <w:rFonts w:hint="eastAsia" w:ascii="黑体" w:hAnsi="黑体" w:eastAsia="黑体"/>
          <w:szCs w:val="21"/>
        </w:rPr>
        <w:t>图B.15</w:t>
      </w:r>
      <w:r>
        <w:rPr>
          <w:rFonts w:hint="eastAsia" w:ascii="黑体" w:hAnsi="黑体" w:eastAsia="黑体"/>
          <w:szCs w:val="21"/>
        </w:rPr>
        <w:tab/>
      </w:r>
      <w:r>
        <w:rPr>
          <w:rFonts w:hint="eastAsia" w:ascii="黑体" w:hAnsi="黑体" w:eastAsia="黑体"/>
          <w:szCs w:val="21"/>
        </w:rPr>
        <w:t>通道宽度和拦挡长度示意</w:t>
      </w:r>
    </w:p>
    <w:p>
      <w:pPr>
        <w:ind w:firstLine="361"/>
        <w:jc w:val="center"/>
        <w:rPr>
          <w:rFonts w:ascii="宋体" w:hAnsi="宋体"/>
          <w:szCs w:val="21"/>
        </w:rPr>
      </w:pPr>
    </w:p>
    <w:p>
      <w:pPr>
        <w:ind w:firstLine="420"/>
        <w:rPr>
          <w:rFonts w:ascii="宋体" w:hAnsi="宋体"/>
          <w:sz w:val="20"/>
          <w:szCs w:val="20"/>
        </w:rPr>
      </w:pPr>
      <w:r>
        <w:rPr>
          <w:rFonts w:ascii="宋体" w:hAnsi="宋体"/>
          <w:szCs w:val="21"/>
        </w:rPr>
        <w:t>拦挡部分的数量及拦挡长度可以根据通道的构成形态、通道宽度而设定，示例参见表</w:t>
      </w:r>
      <w:r>
        <w:rPr>
          <w:rFonts w:hint="eastAsia"/>
        </w:rPr>
        <w:t>B</w:t>
      </w:r>
      <w:r>
        <w:rPr>
          <w:rFonts w:hint="eastAsia"/>
        </w:rPr>
        <w:t>.l</w:t>
      </w:r>
      <w:r>
        <w:rPr>
          <w:rFonts w:ascii="宋体" w:hAnsi="宋体"/>
          <w:szCs w:val="21"/>
        </w:rPr>
        <w:t>中的内容。</w:t>
      </w:r>
    </w:p>
    <w:p>
      <w:pPr>
        <w:spacing w:before="156" w:beforeLines="50" w:after="156" w:afterLines="50"/>
        <w:jc w:val="center"/>
        <w:rPr>
          <w:rFonts w:ascii="黑体" w:hAnsi="黑体" w:eastAsia="黑体"/>
          <w:szCs w:val="21"/>
        </w:rPr>
      </w:pPr>
      <w:r>
        <w:rPr>
          <w:rFonts w:hint="eastAsia" w:ascii="黑体" w:hAnsi="黑体" w:eastAsia="黑体"/>
          <w:szCs w:val="21"/>
        </w:rPr>
        <w:t>表 B.1</w:t>
      </w:r>
      <w:r>
        <w:rPr>
          <w:rFonts w:hint="eastAsia" w:ascii="黑体" w:hAnsi="黑体" w:eastAsia="黑体"/>
          <w:szCs w:val="21"/>
        </w:rPr>
        <w:tab/>
      </w:r>
      <w:r>
        <w:rPr>
          <w:rFonts w:hint="eastAsia" w:ascii="黑体" w:hAnsi="黑体" w:eastAsia="黑体"/>
          <w:szCs w:val="21"/>
        </w:rPr>
        <w:t>拦挡部分鼓量及拦挡长度设置示例</w:t>
      </w:r>
    </w:p>
    <w:tbl>
      <w:tblPr>
        <w:tblStyle w:val="15"/>
        <w:tblW w:w="8196" w:type="dxa"/>
        <w:jc w:val="center"/>
        <w:tblLayout w:type="fixed"/>
        <w:tblCellMar>
          <w:top w:w="0" w:type="dxa"/>
          <w:left w:w="0" w:type="dxa"/>
          <w:bottom w:w="0" w:type="dxa"/>
          <w:right w:w="0" w:type="dxa"/>
        </w:tblCellMar>
      </w:tblPr>
      <w:tblGrid>
        <w:gridCol w:w="899"/>
        <w:gridCol w:w="1559"/>
        <w:gridCol w:w="1559"/>
        <w:gridCol w:w="1418"/>
        <w:gridCol w:w="1417"/>
        <w:gridCol w:w="1344"/>
      </w:tblGrid>
      <w:tr>
        <w:tblPrEx>
          <w:tblCellMar>
            <w:top w:w="0" w:type="dxa"/>
            <w:left w:w="0" w:type="dxa"/>
            <w:bottom w:w="0" w:type="dxa"/>
            <w:right w:w="0" w:type="dxa"/>
          </w:tblCellMar>
        </w:tblPrEx>
        <w:trPr>
          <w:trHeight w:val="1355" w:hRule="exact"/>
          <w:jc w:val="center"/>
        </w:trPr>
        <w:tc>
          <w:tcPr>
            <w:tcW w:w="899" w:type="dxa"/>
            <w:tcBorders>
              <w:top w:val="single" w:color="000000" w:sz="8" w:space="0"/>
              <w:left w:val="single" w:color="000000" w:sz="8" w:space="0"/>
              <w:bottom w:val="single" w:color="000000" w:sz="8" w:space="0"/>
              <w:right w:val="single" w:color="000000" w:sz="4" w:space="0"/>
            </w:tcBorders>
            <w:vAlign w:val="center"/>
          </w:tcPr>
          <w:p>
            <w:pPr>
              <w:jc w:val="center"/>
              <w:rPr>
                <w:rFonts w:ascii="宋体" w:hAnsi="宋体"/>
                <w:sz w:val="18"/>
                <w:szCs w:val="18"/>
              </w:rPr>
            </w:pPr>
            <w:r>
              <w:rPr>
                <w:rFonts w:ascii="宋体" w:hAnsi="宋体"/>
                <w:sz w:val="18"/>
                <w:szCs w:val="18"/>
              </w:rPr>
              <w:t>通道类型</w:t>
            </w:r>
          </w:p>
        </w:tc>
        <w:tc>
          <w:tcPr>
            <w:tcW w:w="1559" w:type="dxa"/>
            <w:tcBorders>
              <w:top w:val="single" w:color="000000" w:sz="8" w:space="0"/>
              <w:left w:val="single" w:color="000000" w:sz="4" w:space="0"/>
              <w:bottom w:val="single" w:color="000000" w:sz="8" w:space="0"/>
              <w:right w:val="single" w:color="000000" w:sz="4" w:space="0"/>
            </w:tcBorders>
            <w:vAlign w:val="center"/>
          </w:tcPr>
          <w:p>
            <w:pPr>
              <w:jc w:val="center"/>
              <w:rPr>
                <w:rFonts w:ascii="宋体" w:hAnsi="宋体"/>
                <w:sz w:val="18"/>
                <w:szCs w:val="18"/>
              </w:rPr>
            </w:pPr>
            <w:r>
              <w:rPr>
                <w:rFonts w:ascii="宋体" w:hAnsi="宋体"/>
                <w:sz w:val="18"/>
                <w:szCs w:val="18"/>
              </w:rPr>
              <w:t>通道宽度 w</w:t>
            </w:r>
          </w:p>
        </w:tc>
        <w:tc>
          <w:tcPr>
            <w:tcW w:w="1559" w:type="dxa"/>
            <w:tcBorders>
              <w:top w:val="single" w:color="000000" w:sz="8" w:space="0"/>
              <w:left w:val="single" w:color="000000" w:sz="4" w:space="0"/>
              <w:bottom w:val="single" w:color="000000" w:sz="8" w:space="0"/>
              <w:right w:val="single" w:color="000000" w:sz="4" w:space="0"/>
            </w:tcBorders>
            <w:vAlign w:val="center"/>
          </w:tcPr>
          <w:p>
            <w:pPr>
              <w:jc w:val="center"/>
              <w:rPr>
                <w:rFonts w:ascii="宋体" w:hAnsi="宋体"/>
                <w:sz w:val="18"/>
                <w:szCs w:val="18"/>
              </w:rPr>
            </w:pPr>
            <w:r>
              <w:rPr>
                <w:rFonts w:ascii="宋体" w:hAnsi="宋体"/>
                <w:sz w:val="18"/>
                <w:szCs w:val="18"/>
              </w:rPr>
              <w:t>通道中同一拦挡面的拦挡部分数量</w:t>
            </w:r>
          </w:p>
        </w:tc>
        <w:tc>
          <w:tcPr>
            <w:tcW w:w="1418" w:type="dxa"/>
            <w:tcBorders>
              <w:top w:val="single" w:color="000000" w:sz="8" w:space="0"/>
              <w:left w:val="single" w:color="000000" w:sz="4" w:space="0"/>
              <w:bottom w:val="single" w:color="000000" w:sz="8" w:space="0"/>
              <w:right w:val="single" w:color="000000" w:sz="4" w:space="0"/>
            </w:tcBorders>
            <w:vAlign w:val="center"/>
          </w:tcPr>
          <w:p>
            <w:pPr>
              <w:jc w:val="center"/>
              <w:rPr>
                <w:rFonts w:ascii="宋体" w:hAnsi="宋体"/>
                <w:sz w:val="18"/>
                <w:szCs w:val="18"/>
              </w:rPr>
            </w:pPr>
            <w:r>
              <w:rPr>
                <w:rFonts w:ascii="宋体" w:hAnsi="宋体"/>
                <w:sz w:val="18"/>
                <w:szCs w:val="18"/>
              </w:rPr>
              <w:t>拦挡长度</w:t>
            </w:r>
            <w:r>
              <w:rPr>
                <w:rFonts w:hint="eastAsia" w:ascii="宋体" w:hAnsi="宋体"/>
                <w:sz w:val="18"/>
                <w:szCs w:val="18"/>
              </w:rPr>
              <w:t>l</w:t>
            </w:r>
          </w:p>
        </w:tc>
        <w:tc>
          <w:tcPr>
            <w:tcW w:w="1417" w:type="dxa"/>
            <w:tcBorders>
              <w:top w:val="single" w:color="000000" w:sz="8" w:space="0"/>
              <w:left w:val="single" w:color="000000" w:sz="4" w:space="0"/>
              <w:bottom w:val="single" w:color="000000" w:sz="8" w:space="0"/>
              <w:right w:val="single" w:color="000000" w:sz="4" w:space="0"/>
            </w:tcBorders>
            <w:vAlign w:val="center"/>
          </w:tcPr>
          <w:p>
            <w:pPr>
              <w:jc w:val="center"/>
              <w:rPr>
                <w:rFonts w:ascii="宋体" w:hAnsi="宋体"/>
                <w:sz w:val="18"/>
                <w:szCs w:val="18"/>
                <w:vertAlign w:val="subscript"/>
              </w:rPr>
            </w:pPr>
            <w:r>
              <w:rPr>
                <w:rFonts w:ascii="宋体" w:hAnsi="宋体"/>
                <w:sz w:val="18"/>
                <w:szCs w:val="18"/>
              </w:rPr>
              <w:t>拦挡空隙间距</w:t>
            </w:r>
            <w:r>
              <w:rPr>
                <w:rFonts w:hint="eastAsia" w:ascii="宋体" w:hAnsi="宋体"/>
                <w:iCs/>
                <w:sz w:val="18"/>
                <w:szCs w:val="18"/>
              </w:rPr>
              <w:t>w</w:t>
            </w:r>
            <w:r>
              <w:rPr>
                <w:rFonts w:hint="eastAsia" w:ascii="宋体" w:hAnsi="宋体"/>
                <w:i/>
                <w:sz w:val="18"/>
                <w:szCs w:val="18"/>
                <w:vertAlign w:val="subscript"/>
              </w:rPr>
              <w:t>1</w:t>
            </w:r>
          </w:p>
        </w:tc>
        <w:tc>
          <w:tcPr>
            <w:tcW w:w="1344" w:type="dxa"/>
            <w:tcBorders>
              <w:top w:val="single" w:color="000000" w:sz="8" w:space="0"/>
              <w:left w:val="single" w:color="000000" w:sz="4" w:space="0"/>
              <w:bottom w:val="single" w:color="000000" w:sz="8" w:space="0"/>
              <w:right w:val="single" w:color="000000" w:sz="8" w:space="0"/>
            </w:tcBorders>
            <w:vAlign w:val="center"/>
          </w:tcPr>
          <w:p>
            <w:pPr>
              <w:jc w:val="center"/>
              <w:rPr>
                <w:rFonts w:ascii="宋体" w:hAnsi="宋体"/>
                <w:sz w:val="18"/>
                <w:szCs w:val="18"/>
              </w:rPr>
            </w:pPr>
            <w:r>
              <w:rPr>
                <w:rFonts w:ascii="宋体" w:hAnsi="宋体"/>
                <w:sz w:val="18"/>
                <w:szCs w:val="18"/>
              </w:rPr>
              <w:t>备注</w:t>
            </w:r>
          </w:p>
        </w:tc>
      </w:tr>
      <w:tr>
        <w:tblPrEx>
          <w:tblCellMar>
            <w:top w:w="0" w:type="dxa"/>
            <w:left w:w="0" w:type="dxa"/>
            <w:bottom w:w="0" w:type="dxa"/>
            <w:right w:w="0" w:type="dxa"/>
          </w:tblCellMar>
        </w:tblPrEx>
        <w:trPr>
          <w:trHeight w:val="856" w:hRule="exact"/>
          <w:jc w:val="center"/>
        </w:trPr>
        <w:tc>
          <w:tcPr>
            <w:tcW w:w="899" w:type="dxa"/>
            <w:vMerge w:val="restart"/>
            <w:tcBorders>
              <w:top w:val="single" w:color="000000" w:sz="8" w:space="0"/>
              <w:left w:val="single" w:color="000000" w:sz="8" w:space="0"/>
              <w:right w:val="single" w:color="000000" w:sz="4" w:space="0"/>
            </w:tcBorders>
            <w:vAlign w:val="center"/>
          </w:tcPr>
          <w:p>
            <w:pPr>
              <w:jc w:val="center"/>
              <w:rPr>
                <w:rFonts w:ascii="宋体" w:hAnsi="宋体"/>
                <w:sz w:val="18"/>
                <w:szCs w:val="18"/>
              </w:rPr>
            </w:pPr>
            <w:r>
              <w:rPr>
                <w:rFonts w:ascii="宋体" w:hAnsi="宋体"/>
                <w:sz w:val="18"/>
                <w:szCs w:val="18"/>
              </w:rPr>
              <w:t>常规通道</w:t>
            </w:r>
          </w:p>
        </w:tc>
        <w:tc>
          <w:tcPr>
            <w:tcW w:w="1559" w:type="dxa"/>
            <w:vMerge w:val="restart"/>
            <w:tcBorders>
              <w:top w:val="single" w:color="000000" w:sz="8" w:space="0"/>
              <w:left w:val="single" w:color="000000" w:sz="4" w:space="0"/>
              <w:right w:val="single" w:color="000000" w:sz="4" w:space="0"/>
            </w:tcBorders>
            <w:vAlign w:val="center"/>
          </w:tcPr>
          <w:p>
            <w:pPr>
              <w:jc w:val="center"/>
              <w:rPr>
                <w:rFonts w:ascii="宋体" w:hAnsi="宋体"/>
                <w:sz w:val="18"/>
                <w:szCs w:val="18"/>
              </w:rPr>
            </w:pPr>
            <w:r>
              <w:rPr>
                <w:rFonts w:ascii="宋体" w:hAnsi="宋体"/>
                <w:sz w:val="18"/>
                <w:szCs w:val="18"/>
              </w:rPr>
              <w:t>550mm</w:t>
            </w:r>
            <w:r>
              <w:rPr>
                <w:rFonts w:hint="eastAsia" w:ascii="宋体" w:hAnsi="宋体"/>
                <w:sz w:val="18"/>
                <w:szCs w:val="18"/>
              </w:rPr>
              <w:t>≤</w:t>
            </w:r>
            <w:r>
              <w:rPr>
                <w:rFonts w:ascii="宋体" w:hAnsi="宋体"/>
                <w:sz w:val="18"/>
                <w:szCs w:val="18"/>
              </w:rPr>
              <w:t>w</w:t>
            </w:r>
            <w:r>
              <w:rPr>
                <w:rFonts w:hint="eastAsia" w:ascii="宋体" w:hAnsi="宋体"/>
                <w:sz w:val="18"/>
                <w:szCs w:val="18"/>
              </w:rPr>
              <w:t>＜</w:t>
            </w:r>
            <w:r>
              <w:rPr>
                <w:rFonts w:ascii="宋体" w:hAnsi="宋体"/>
                <w:sz w:val="18"/>
                <w:szCs w:val="18"/>
              </w:rPr>
              <w:t>900mm</w:t>
            </w:r>
          </w:p>
        </w:tc>
        <w:tc>
          <w:tcPr>
            <w:tcW w:w="1559" w:type="dxa"/>
            <w:tcBorders>
              <w:top w:val="single" w:color="000000" w:sz="8" w:space="0"/>
              <w:left w:val="single" w:color="000000" w:sz="4" w:space="0"/>
              <w:bottom w:val="single" w:color="000000" w:sz="4" w:space="0"/>
              <w:right w:val="single" w:color="000000" w:sz="4" w:space="0"/>
            </w:tcBorders>
            <w:vAlign w:val="center"/>
          </w:tcPr>
          <w:p>
            <w:pPr>
              <w:jc w:val="center"/>
              <w:rPr>
                <w:rFonts w:ascii="宋体" w:hAnsi="宋体"/>
                <w:sz w:val="18"/>
                <w:szCs w:val="18"/>
              </w:rPr>
            </w:pPr>
            <w:r>
              <w:rPr>
                <w:rFonts w:ascii="宋体" w:hAnsi="宋体"/>
                <w:sz w:val="18"/>
                <w:szCs w:val="18"/>
              </w:rPr>
              <w:t>2</w:t>
            </w:r>
          </w:p>
        </w:tc>
        <w:tc>
          <w:tcPr>
            <w:tcW w:w="1418" w:type="dxa"/>
            <w:tcBorders>
              <w:top w:val="single" w:color="000000" w:sz="8" w:space="0"/>
              <w:left w:val="single" w:color="000000"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220mm≤</w:t>
            </w:r>
            <w:r>
              <w:rPr>
                <w:rFonts w:ascii="宋体" w:hAnsi="宋体"/>
                <w:sz w:val="18"/>
                <w:szCs w:val="18"/>
              </w:rPr>
              <w:t>l</w:t>
            </w:r>
            <w:r>
              <w:rPr>
                <w:rFonts w:hint="eastAsia" w:ascii="宋体" w:hAnsi="宋体"/>
                <w:sz w:val="18"/>
                <w:szCs w:val="18"/>
              </w:rPr>
              <w:t>＜</w:t>
            </w:r>
            <w:r>
              <w:rPr>
                <w:rFonts w:ascii="宋体" w:hAnsi="宋体"/>
                <w:sz w:val="18"/>
                <w:szCs w:val="18"/>
              </w:rPr>
              <w:t>430mm</w:t>
            </w:r>
          </w:p>
        </w:tc>
        <w:tc>
          <w:tcPr>
            <w:tcW w:w="1417" w:type="dxa"/>
            <w:vMerge w:val="restart"/>
            <w:tcBorders>
              <w:top w:val="single" w:color="000000" w:sz="8" w:space="0"/>
              <w:left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w≤110mm</w:t>
            </w:r>
          </w:p>
        </w:tc>
        <w:tc>
          <w:tcPr>
            <w:tcW w:w="1344" w:type="dxa"/>
            <w:tcBorders>
              <w:top w:val="single" w:color="000000" w:sz="8" w:space="0"/>
              <w:left w:val="single" w:color="000000" w:sz="4" w:space="0"/>
              <w:bottom w:val="single" w:color="000000" w:sz="4" w:space="0"/>
              <w:right w:val="single" w:color="000000" w:sz="8" w:space="0"/>
            </w:tcBorders>
            <w:vAlign w:val="center"/>
          </w:tcPr>
          <w:p>
            <w:pPr>
              <w:jc w:val="center"/>
              <w:rPr>
                <w:rFonts w:ascii="宋体" w:hAnsi="宋体"/>
                <w:sz w:val="18"/>
                <w:szCs w:val="18"/>
              </w:rPr>
            </w:pPr>
            <w:r>
              <w:rPr>
                <w:rFonts w:ascii="宋体" w:hAnsi="宋体"/>
                <w:sz w:val="18"/>
                <w:szCs w:val="18"/>
              </w:rPr>
              <w:t>拦挡部分的拦挡长度一样</w:t>
            </w:r>
          </w:p>
        </w:tc>
      </w:tr>
      <w:tr>
        <w:tblPrEx>
          <w:tblCellMar>
            <w:top w:w="0" w:type="dxa"/>
            <w:left w:w="0" w:type="dxa"/>
            <w:bottom w:w="0" w:type="dxa"/>
            <w:right w:w="0" w:type="dxa"/>
          </w:tblCellMar>
        </w:tblPrEx>
        <w:trPr>
          <w:trHeight w:val="432" w:hRule="exact"/>
          <w:jc w:val="center"/>
        </w:trPr>
        <w:tc>
          <w:tcPr>
            <w:tcW w:w="899" w:type="dxa"/>
            <w:vMerge w:val="continue"/>
            <w:tcBorders>
              <w:left w:val="single" w:color="000000" w:sz="8" w:space="0"/>
              <w:bottom w:val="single" w:color="000000" w:sz="4" w:space="0"/>
              <w:right w:val="single" w:color="000000" w:sz="4" w:space="0"/>
            </w:tcBorders>
            <w:vAlign w:val="center"/>
          </w:tcPr>
          <w:p>
            <w:pPr>
              <w:ind w:firstLine="360"/>
              <w:jc w:val="center"/>
              <w:rPr>
                <w:rFonts w:ascii="宋体" w:hAnsi="宋体"/>
                <w:sz w:val="18"/>
                <w:szCs w:val="18"/>
              </w:rPr>
            </w:pPr>
          </w:p>
        </w:tc>
        <w:tc>
          <w:tcPr>
            <w:tcW w:w="1559" w:type="dxa"/>
            <w:vMerge w:val="continue"/>
            <w:tcBorders>
              <w:left w:val="single" w:color="000000" w:sz="4" w:space="0"/>
              <w:bottom w:val="single" w:color="000000" w:sz="4" w:space="0"/>
              <w:right w:val="single" w:color="000000" w:sz="4" w:space="0"/>
            </w:tcBorders>
            <w:vAlign w:val="center"/>
          </w:tcPr>
          <w:p>
            <w:pPr>
              <w:ind w:firstLine="360"/>
              <w:jc w:val="center"/>
              <w:rPr>
                <w:rFonts w:ascii="宋体" w:hAnsi="宋体"/>
                <w:sz w:val="18"/>
                <w:szCs w:val="18"/>
              </w:rPr>
            </w:pP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18"/>
                <w:szCs w:val="18"/>
              </w:rPr>
            </w:pPr>
            <w:r>
              <w:rPr>
                <w:rFonts w:ascii="宋体" w:hAnsi="宋体"/>
                <w:sz w:val="18"/>
                <w:szCs w:val="18"/>
              </w:rPr>
              <w:t>1</w:t>
            </w:r>
          </w:p>
        </w:tc>
        <w:tc>
          <w:tcPr>
            <w:tcW w:w="14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18"/>
                <w:szCs w:val="18"/>
              </w:rPr>
            </w:pPr>
            <w:r>
              <w:rPr>
                <w:rFonts w:ascii="宋体" w:hAnsi="宋体"/>
                <w:sz w:val="18"/>
                <w:szCs w:val="18"/>
              </w:rPr>
              <w:t>440mm</w:t>
            </w:r>
            <w:r>
              <w:rPr>
                <w:rFonts w:hint="eastAsia" w:ascii="宋体" w:hAnsi="宋体"/>
                <w:sz w:val="18"/>
                <w:szCs w:val="18"/>
              </w:rPr>
              <w:t>≤</w:t>
            </w:r>
            <w:r>
              <w:rPr>
                <w:rFonts w:ascii="宋体" w:hAnsi="宋体"/>
                <w:sz w:val="18"/>
                <w:szCs w:val="18"/>
              </w:rPr>
              <w:t>l</w:t>
            </w:r>
            <w:r>
              <w:rPr>
                <w:rFonts w:hint="eastAsia" w:ascii="宋体" w:hAnsi="宋体"/>
                <w:sz w:val="18"/>
                <w:szCs w:val="18"/>
              </w:rPr>
              <w:t>＜</w:t>
            </w:r>
            <w:r>
              <w:rPr>
                <w:rFonts w:ascii="宋体" w:hAnsi="宋体"/>
                <w:sz w:val="18"/>
                <w:szCs w:val="18"/>
              </w:rPr>
              <w:t>860mm</w:t>
            </w:r>
          </w:p>
        </w:tc>
        <w:tc>
          <w:tcPr>
            <w:tcW w:w="1417" w:type="dxa"/>
            <w:vMerge w:val="continue"/>
            <w:tcBorders>
              <w:left w:val="single" w:color="000000" w:sz="4" w:space="0"/>
              <w:right w:val="single" w:color="000000" w:sz="4" w:space="0"/>
            </w:tcBorders>
            <w:vAlign w:val="center"/>
          </w:tcPr>
          <w:p>
            <w:pPr>
              <w:ind w:firstLine="360"/>
              <w:jc w:val="center"/>
              <w:rPr>
                <w:rFonts w:ascii="宋体" w:hAnsi="宋体"/>
                <w:sz w:val="18"/>
                <w:szCs w:val="18"/>
              </w:rPr>
            </w:pPr>
          </w:p>
        </w:tc>
        <w:tc>
          <w:tcPr>
            <w:tcW w:w="1344" w:type="dxa"/>
            <w:tcBorders>
              <w:top w:val="single" w:color="000000" w:sz="4" w:space="0"/>
              <w:left w:val="single" w:color="000000" w:sz="4" w:space="0"/>
              <w:bottom w:val="single" w:color="000000" w:sz="4" w:space="0"/>
              <w:right w:val="single" w:color="000000" w:sz="8" w:space="0"/>
            </w:tcBorders>
            <w:vAlign w:val="center"/>
          </w:tcPr>
          <w:p>
            <w:pPr>
              <w:ind w:firstLine="360"/>
              <w:jc w:val="center"/>
              <w:rPr>
                <w:rFonts w:ascii="宋体" w:hAnsi="宋体"/>
                <w:sz w:val="18"/>
                <w:szCs w:val="18"/>
              </w:rPr>
            </w:pPr>
          </w:p>
        </w:tc>
      </w:tr>
      <w:tr>
        <w:tblPrEx>
          <w:tblCellMar>
            <w:top w:w="0" w:type="dxa"/>
            <w:left w:w="0" w:type="dxa"/>
            <w:bottom w:w="0" w:type="dxa"/>
            <w:right w:w="0" w:type="dxa"/>
          </w:tblCellMar>
        </w:tblPrEx>
        <w:trPr>
          <w:trHeight w:val="909" w:hRule="exact"/>
          <w:jc w:val="center"/>
        </w:trPr>
        <w:tc>
          <w:tcPr>
            <w:tcW w:w="899" w:type="dxa"/>
            <w:tcBorders>
              <w:top w:val="single" w:color="000000" w:sz="4" w:space="0"/>
              <w:left w:val="single" w:color="000000" w:sz="8" w:space="0"/>
              <w:bottom w:val="single" w:color="000000" w:sz="8" w:space="0"/>
              <w:right w:val="single" w:color="000000" w:sz="4" w:space="0"/>
            </w:tcBorders>
            <w:vAlign w:val="center"/>
          </w:tcPr>
          <w:p>
            <w:pPr>
              <w:jc w:val="center"/>
              <w:rPr>
                <w:rFonts w:ascii="宋体" w:hAnsi="宋体"/>
                <w:sz w:val="18"/>
                <w:szCs w:val="18"/>
              </w:rPr>
            </w:pPr>
            <w:r>
              <w:rPr>
                <w:rFonts w:ascii="宋体" w:hAnsi="宋体"/>
                <w:sz w:val="18"/>
                <w:szCs w:val="18"/>
              </w:rPr>
              <w:t>宽通道</w:t>
            </w:r>
          </w:p>
        </w:tc>
        <w:tc>
          <w:tcPr>
            <w:tcW w:w="1559" w:type="dxa"/>
            <w:tcBorders>
              <w:top w:val="single" w:color="000000" w:sz="4" w:space="0"/>
              <w:left w:val="single" w:color="000000" w:sz="4" w:space="0"/>
              <w:bottom w:val="single" w:color="000000" w:sz="8" w:space="0"/>
              <w:right w:val="single" w:color="000000" w:sz="4" w:space="0"/>
            </w:tcBorders>
            <w:vAlign w:val="center"/>
          </w:tcPr>
          <w:p>
            <w:pPr>
              <w:jc w:val="center"/>
              <w:rPr>
                <w:rFonts w:ascii="宋体" w:hAnsi="宋体"/>
                <w:sz w:val="18"/>
                <w:szCs w:val="18"/>
              </w:rPr>
            </w:pPr>
            <w:r>
              <w:rPr>
                <w:rFonts w:ascii="宋体" w:hAnsi="宋体"/>
                <w:sz w:val="18"/>
                <w:szCs w:val="18"/>
              </w:rPr>
              <w:t>900mm</w:t>
            </w:r>
            <w:r>
              <w:rPr>
                <w:rFonts w:hint="eastAsia" w:ascii="宋体" w:hAnsi="宋体"/>
                <w:sz w:val="18"/>
                <w:szCs w:val="18"/>
              </w:rPr>
              <w:t>≤</w:t>
            </w:r>
            <w:r>
              <w:rPr>
                <w:rFonts w:ascii="宋体" w:hAnsi="宋体"/>
                <w:sz w:val="18"/>
                <w:szCs w:val="18"/>
              </w:rPr>
              <w:t>w</w:t>
            </w:r>
            <w:r>
              <w:rPr>
                <w:rFonts w:hint="eastAsia" w:ascii="宋体" w:hAnsi="宋体"/>
                <w:sz w:val="18"/>
                <w:szCs w:val="18"/>
              </w:rPr>
              <w:t>≤</w:t>
            </w:r>
            <w:r>
              <w:rPr>
                <w:rFonts w:ascii="宋体" w:hAnsi="宋体"/>
                <w:sz w:val="18"/>
                <w:szCs w:val="18"/>
              </w:rPr>
              <w:t>1200mm</w:t>
            </w:r>
          </w:p>
        </w:tc>
        <w:tc>
          <w:tcPr>
            <w:tcW w:w="1559" w:type="dxa"/>
            <w:tcBorders>
              <w:top w:val="single" w:color="000000" w:sz="4" w:space="0"/>
              <w:left w:val="single" w:color="000000" w:sz="4" w:space="0"/>
              <w:bottom w:val="single" w:color="000000" w:sz="8" w:space="0"/>
              <w:right w:val="single" w:color="000000" w:sz="4" w:space="0"/>
            </w:tcBorders>
            <w:vAlign w:val="center"/>
          </w:tcPr>
          <w:p>
            <w:pPr>
              <w:jc w:val="center"/>
              <w:rPr>
                <w:rFonts w:ascii="宋体" w:hAnsi="宋体"/>
                <w:sz w:val="18"/>
                <w:szCs w:val="18"/>
              </w:rPr>
            </w:pPr>
            <w:r>
              <w:rPr>
                <w:rFonts w:ascii="宋体" w:hAnsi="宋体"/>
                <w:sz w:val="18"/>
                <w:szCs w:val="18"/>
              </w:rPr>
              <w:t>2</w:t>
            </w:r>
          </w:p>
        </w:tc>
        <w:tc>
          <w:tcPr>
            <w:tcW w:w="1418" w:type="dxa"/>
            <w:tcBorders>
              <w:top w:val="single" w:color="000000" w:sz="4" w:space="0"/>
              <w:left w:val="single" w:color="000000" w:sz="4" w:space="0"/>
              <w:bottom w:val="single" w:color="000000" w:sz="8" w:space="0"/>
              <w:right w:val="single" w:color="000000" w:sz="4" w:space="0"/>
            </w:tcBorders>
            <w:vAlign w:val="center"/>
          </w:tcPr>
          <w:p>
            <w:pPr>
              <w:jc w:val="center"/>
              <w:rPr>
                <w:rFonts w:ascii="宋体" w:hAnsi="宋体"/>
                <w:sz w:val="18"/>
                <w:szCs w:val="18"/>
              </w:rPr>
            </w:pPr>
            <w:r>
              <w:rPr>
                <w:rFonts w:ascii="宋体" w:hAnsi="宋体"/>
                <w:sz w:val="18"/>
                <w:szCs w:val="18"/>
              </w:rPr>
              <w:t>395mm</w:t>
            </w:r>
            <w:r>
              <w:rPr>
                <w:rFonts w:hint="eastAsia" w:ascii="宋体" w:hAnsi="宋体"/>
                <w:sz w:val="18"/>
                <w:szCs w:val="18"/>
              </w:rPr>
              <w:t>≤</w:t>
            </w:r>
            <w:r>
              <w:rPr>
                <w:rFonts w:ascii="宋体" w:hAnsi="宋体"/>
                <w:sz w:val="18"/>
                <w:szCs w:val="18"/>
              </w:rPr>
              <w:t>l</w:t>
            </w:r>
            <w:r>
              <w:rPr>
                <w:rFonts w:hint="eastAsia" w:ascii="宋体" w:hAnsi="宋体"/>
                <w:sz w:val="18"/>
                <w:szCs w:val="18"/>
              </w:rPr>
              <w:t>≤</w:t>
            </w:r>
            <w:r>
              <w:rPr>
                <w:rFonts w:ascii="宋体" w:hAnsi="宋体"/>
                <w:sz w:val="18"/>
                <w:szCs w:val="18"/>
              </w:rPr>
              <w:t>580mm</w:t>
            </w:r>
          </w:p>
        </w:tc>
        <w:tc>
          <w:tcPr>
            <w:tcW w:w="1417" w:type="dxa"/>
            <w:vMerge w:val="continue"/>
            <w:tcBorders>
              <w:left w:val="single" w:color="000000" w:sz="4" w:space="0"/>
              <w:bottom w:val="single" w:color="000000" w:sz="8" w:space="0"/>
              <w:right w:val="single" w:color="000000" w:sz="4" w:space="0"/>
            </w:tcBorders>
            <w:vAlign w:val="center"/>
          </w:tcPr>
          <w:p>
            <w:pPr>
              <w:ind w:firstLine="360"/>
              <w:jc w:val="center"/>
              <w:rPr>
                <w:rFonts w:ascii="宋体" w:hAnsi="宋体"/>
                <w:sz w:val="18"/>
                <w:szCs w:val="18"/>
              </w:rPr>
            </w:pPr>
          </w:p>
        </w:tc>
        <w:tc>
          <w:tcPr>
            <w:tcW w:w="1344" w:type="dxa"/>
            <w:tcBorders>
              <w:top w:val="single" w:color="000000" w:sz="4" w:space="0"/>
              <w:left w:val="single" w:color="000000" w:sz="4" w:space="0"/>
              <w:bottom w:val="single" w:color="000000" w:sz="8" w:space="0"/>
              <w:right w:val="single" w:color="000000" w:sz="8" w:space="0"/>
            </w:tcBorders>
            <w:vAlign w:val="center"/>
          </w:tcPr>
          <w:p>
            <w:pPr>
              <w:jc w:val="center"/>
              <w:rPr>
                <w:rFonts w:ascii="宋体" w:hAnsi="宋体"/>
                <w:sz w:val="18"/>
                <w:szCs w:val="18"/>
              </w:rPr>
            </w:pPr>
            <w:r>
              <w:rPr>
                <w:rFonts w:ascii="宋体" w:hAnsi="宋体"/>
                <w:sz w:val="18"/>
                <w:szCs w:val="18"/>
              </w:rPr>
              <w:t>拦挡部分的拦挡长度一样</w:t>
            </w:r>
          </w:p>
        </w:tc>
      </w:tr>
    </w:tbl>
    <w:p>
      <w:pPr>
        <w:rPr>
          <w:rFonts w:ascii="宋体" w:hAnsi="宋体"/>
          <w:sz w:val="20"/>
          <w:szCs w:val="20"/>
        </w:rPr>
      </w:pPr>
    </w:p>
    <w:p>
      <w:pPr>
        <w:pStyle w:val="50"/>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人员通行检测空间</w:t>
      </w:r>
    </w:p>
    <w:p>
      <w:pPr>
        <w:ind w:firstLine="420"/>
        <w:rPr>
          <w:rFonts w:ascii="宋体" w:hAnsi="宋体"/>
          <w:szCs w:val="21"/>
        </w:rPr>
      </w:pPr>
      <w:r>
        <w:rPr>
          <w:rFonts w:ascii="宋体" w:hAnsi="宋体"/>
          <w:szCs w:val="21"/>
        </w:rPr>
        <w:t>不同类型通道闸的人员通行检测方式不同，档杆式类型通道闸中，三</w:t>
      </w:r>
      <w:r>
        <w:rPr>
          <w:rFonts w:hint="eastAsia" w:ascii="宋体" w:hAnsi="宋体"/>
          <w:szCs w:val="21"/>
        </w:rPr>
        <w:t>棍</w:t>
      </w:r>
      <w:r>
        <w:rPr>
          <w:rFonts w:ascii="宋体" w:hAnsi="宋体"/>
          <w:szCs w:val="21"/>
        </w:rPr>
        <w:t>闸人员通行检测主要通过其拦挡部分结构和角位检测共同完成，而挡板式通道闸主要采用红外等无线技术实现，故而不同类型人员通行检测空间</w:t>
      </w:r>
      <w:r>
        <w:rPr>
          <w:rFonts w:hint="eastAsia" w:ascii="宋体" w:hAnsi="宋体"/>
          <w:szCs w:val="21"/>
        </w:rPr>
        <w:t>各不相同</w:t>
      </w:r>
      <w:r>
        <w:rPr>
          <w:rFonts w:ascii="宋体" w:hAnsi="宋体"/>
          <w:szCs w:val="21"/>
        </w:rPr>
        <w:t>。</w:t>
      </w:r>
    </w:p>
    <w:p>
      <w:pPr>
        <w:ind w:firstLine="420"/>
        <w:rPr>
          <w:rFonts w:ascii="宋体" w:hAnsi="宋体"/>
          <w:szCs w:val="21"/>
        </w:rPr>
      </w:pPr>
      <w:r>
        <w:rPr>
          <w:rFonts w:ascii="宋体" w:hAnsi="宋体"/>
          <w:szCs w:val="21"/>
        </w:rPr>
        <w:t>在通道内，根据安全防范管理的需要，设定人员通行检测部分能检测的空间或区域，如若在通道的进入区域、离开区域、拦挡部分附近设立检测点，可首先选择在通道的上半部分设立检测点；如若需要在通道的下半部分设立检测点时，该检测点的安装高度</w:t>
      </w:r>
      <w:r>
        <w:rPr>
          <w:rFonts w:hint="eastAsia" w:ascii="宋体" w:hAnsi="宋体"/>
          <w:szCs w:val="21"/>
        </w:rPr>
        <w:t>应</w:t>
      </w:r>
      <w:r>
        <w:rPr>
          <w:rFonts w:ascii="宋体" w:hAnsi="宋体"/>
          <w:szCs w:val="21"/>
        </w:rPr>
        <w:t>不大于300mm</w:t>
      </w:r>
      <w:r>
        <w:rPr>
          <w:rFonts w:hint="eastAsia" w:ascii="宋体" w:hAnsi="宋体"/>
          <w:szCs w:val="21"/>
        </w:rPr>
        <w:t>。</w:t>
      </w:r>
    </w:p>
    <w:p>
      <w:pPr>
        <w:pStyle w:val="28"/>
        <w:wordWrap/>
        <w:spacing w:before="156" w:after="156"/>
      </w:pPr>
      <w:bookmarkStart w:id="313" w:name="_Toc52373961"/>
      <w:r>
        <w:rPr>
          <w:rFonts w:hint="eastAsia"/>
        </w:rPr>
        <w:t>其他终端</w:t>
      </w:r>
      <w:bookmarkEnd w:id="313"/>
    </w:p>
    <w:p>
      <w:pPr>
        <w:pStyle w:val="48"/>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人像识别采集设备</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功能要求</w:t>
      </w:r>
    </w:p>
    <w:p>
      <w:pPr>
        <w:ind w:firstLine="420"/>
        <w:rPr>
          <w:rFonts w:ascii="宋体" w:hAnsi="宋体"/>
          <w:kern w:val="0"/>
          <w:szCs w:val="21"/>
        </w:rPr>
      </w:pPr>
      <w:r>
        <w:rPr>
          <w:szCs w:val="21"/>
        </w:rPr>
        <w:t>包含但不限能够进行人像采集，并对采集的人像进行上传</w:t>
      </w:r>
      <w:r>
        <w:rPr>
          <w:rFonts w:hint="eastAsia"/>
          <w:szCs w:val="21"/>
        </w:rPr>
        <w:t>、</w:t>
      </w:r>
      <w:r>
        <w:rPr>
          <w:szCs w:val="21"/>
        </w:rPr>
        <w:t>比对等功能。</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性能要求</w:t>
      </w:r>
    </w:p>
    <w:p>
      <w:pPr>
        <w:ind w:firstLine="420"/>
        <w:rPr>
          <w:szCs w:val="21"/>
        </w:rPr>
      </w:pPr>
      <w:r>
        <w:rPr>
          <w:rFonts w:hint="eastAsia"/>
          <w:szCs w:val="21"/>
        </w:rPr>
        <w:t>人证比对时间 ：1：1比对时间≤1秒/人；</w:t>
      </w:r>
    </w:p>
    <w:p>
      <w:pPr>
        <w:ind w:firstLine="420"/>
        <w:rPr>
          <w:szCs w:val="21"/>
        </w:rPr>
      </w:pPr>
      <w:r>
        <w:rPr>
          <w:rFonts w:hint="eastAsia"/>
          <w:szCs w:val="21"/>
        </w:rPr>
        <w:t>人脸比对时间： 1：N比对时间≤0.5秒/人；</w:t>
      </w:r>
    </w:p>
    <w:p>
      <w:pPr>
        <w:tabs>
          <w:tab w:val="left" w:pos="3600"/>
        </w:tabs>
        <w:ind w:firstLine="420"/>
        <w:rPr>
          <w:szCs w:val="21"/>
        </w:rPr>
      </w:pPr>
      <w:r>
        <w:rPr>
          <w:rFonts w:hint="eastAsia"/>
          <w:szCs w:val="21"/>
        </w:rPr>
        <w:t>人脸验证准确率：≥99%；</w:t>
      </w:r>
    </w:p>
    <w:p>
      <w:pPr>
        <w:ind w:firstLine="420"/>
        <w:rPr>
          <w:szCs w:val="21"/>
        </w:rPr>
      </w:pPr>
      <w:r>
        <w:rPr>
          <w:rFonts w:hint="eastAsia"/>
          <w:szCs w:val="21"/>
        </w:rPr>
        <w:t>面部识别距离：0.3米～1米；</w:t>
      </w:r>
    </w:p>
    <w:p>
      <w:pPr>
        <w:ind w:firstLine="420"/>
        <w:rPr>
          <w:szCs w:val="21"/>
        </w:rPr>
      </w:pPr>
      <w:r>
        <w:rPr>
          <w:rFonts w:hint="eastAsia"/>
          <w:szCs w:val="21"/>
        </w:rPr>
        <w:t>光源：具有补光光源；</w:t>
      </w:r>
    </w:p>
    <w:p>
      <w:pPr>
        <w:ind w:firstLine="420"/>
        <w:rPr>
          <w:szCs w:val="21"/>
        </w:rPr>
      </w:pPr>
      <w:r>
        <w:rPr>
          <w:rFonts w:hint="eastAsia"/>
          <w:szCs w:val="21"/>
        </w:rPr>
        <w:t>通讯方式：</w:t>
      </w:r>
      <w:r>
        <w:rPr>
          <w:szCs w:val="21"/>
        </w:rPr>
        <w:t>支持</w:t>
      </w:r>
      <w:r>
        <w:rPr>
          <w:rFonts w:hint="eastAsia"/>
          <w:szCs w:val="21"/>
        </w:rPr>
        <w:t>有线TCP/</w:t>
      </w:r>
      <w:r>
        <w:rPr>
          <w:szCs w:val="21"/>
        </w:rPr>
        <w:t>IP</w:t>
      </w:r>
      <w:r>
        <w:rPr>
          <w:rFonts w:hint="eastAsia"/>
          <w:szCs w:val="21"/>
        </w:rPr>
        <w:t>；</w:t>
      </w:r>
    </w:p>
    <w:p>
      <w:pPr>
        <w:ind w:firstLine="420"/>
        <w:rPr>
          <w:szCs w:val="21"/>
        </w:rPr>
      </w:pPr>
      <w:r>
        <w:rPr>
          <w:rFonts w:hint="eastAsia"/>
          <w:szCs w:val="21"/>
        </w:rPr>
        <w:t>物理接口： LAN*2、RS232*1、RS485*1、USB*2、HDMI*1</w:t>
      </w:r>
      <w:r>
        <w:rPr>
          <w:szCs w:val="21"/>
        </w:rPr>
        <w:t>等</w:t>
      </w:r>
      <w:r>
        <w:rPr>
          <w:rFonts w:hint="eastAsia"/>
          <w:szCs w:val="21"/>
        </w:rPr>
        <w:t>内置接口；</w:t>
      </w:r>
    </w:p>
    <w:p>
      <w:pPr>
        <w:ind w:firstLine="420"/>
        <w:rPr>
          <w:szCs w:val="21"/>
        </w:rPr>
      </w:pPr>
      <w:r>
        <w:rPr>
          <w:rFonts w:hint="eastAsia"/>
          <w:szCs w:val="21"/>
        </w:rPr>
        <w:t>摄像头：自动对焦，适应140厘米-190厘米身高范围；</w:t>
      </w:r>
    </w:p>
    <w:p>
      <w:pPr>
        <w:ind w:firstLine="420"/>
        <w:rPr>
          <w:szCs w:val="21"/>
        </w:rPr>
      </w:pPr>
      <w:r>
        <w:rPr>
          <w:rFonts w:hint="eastAsia"/>
          <w:szCs w:val="21"/>
        </w:rPr>
        <w:t>相对湿度：0%至90%</w:t>
      </w:r>
      <w:r>
        <w:rPr>
          <w:rFonts w:hint="eastAsia"/>
          <w:szCs w:val="21"/>
          <w:lang w:eastAsia="zh-CN"/>
        </w:rPr>
        <w:t>（</w:t>
      </w:r>
      <w:r>
        <w:rPr>
          <w:rFonts w:hint="eastAsia"/>
          <w:szCs w:val="21"/>
        </w:rPr>
        <w:t>在不凝结水滴状态下</w:t>
      </w:r>
      <w:r>
        <w:rPr>
          <w:rFonts w:hint="eastAsia"/>
          <w:szCs w:val="21"/>
          <w:lang w:eastAsia="zh-CN"/>
        </w:rPr>
        <w:t>）</w:t>
      </w:r>
      <w:r>
        <w:rPr>
          <w:rFonts w:hint="eastAsia"/>
          <w:szCs w:val="21"/>
        </w:rPr>
        <w:t>；</w:t>
      </w:r>
    </w:p>
    <w:p>
      <w:pPr>
        <w:ind w:firstLine="420"/>
        <w:rPr>
          <w:szCs w:val="21"/>
        </w:rPr>
      </w:pPr>
      <w:r>
        <w:rPr>
          <w:rFonts w:hint="eastAsia"/>
          <w:szCs w:val="21"/>
        </w:rPr>
        <w:t>工作温度：-20℃～60℃；</w:t>
      </w:r>
    </w:p>
    <w:p>
      <w:pPr>
        <w:ind w:firstLine="420"/>
        <w:rPr>
          <w:szCs w:val="21"/>
        </w:rPr>
      </w:pPr>
      <w:r>
        <w:rPr>
          <w:rFonts w:hint="eastAsia"/>
          <w:szCs w:val="21"/>
        </w:rPr>
        <w:t>防水等级：</w:t>
      </w:r>
      <w:r>
        <w:rPr>
          <w:szCs w:val="21"/>
        </w:rPr>
        <w:t>IP</w:t>
      </w:r>
      <w:r>
        <w:rPr>
          <w:rFonts w:hint="eastAsia"/>
          <w:szCs w:val="21"/>
        </w:rPr>
        <w:t>64；</w:t>
      </w:r>
    </w:p>
    <w:p>
      <w:pPr>
        <w:ind w:firstLine="420"/>
        <w:rPr>
          <w:rFonts w:ascii="宋体" w:hAnsi="宋体" w:cs="宋体"/>
          <w:kern w:val="0"/>
          <w:szCs w:val="21"/>
        </w:rPr>
      </w:pPr>
      <w:r>
        <w:rPr>
          <w:rFonts w:hint="eastAsia"/>
          <w:szCs w:val="21"/>
        </w:rPr>
        <w:t>使用环境：室内外</w:t>
      </w:r>
      <w:r>
        <w:rPr>
          <w:szCs w:val="21"/>
        </w:rPr>
        <w:t>。</w:t>
      </w:r>
    </w:p>
    <w:p>
      <w:pPr>
        <w:pStyle w:val="48"/>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身份证读卡器</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功能要求</w:t>
      </w:r>
    </w:p>
    <w:p>
      <w:pPr>
        <w:ind w:firstLine="420"/>
        <w:rPr>
          <w:rFonts w:ascii="宋体" w:hAnsi="宋体"/>
          <w:kern w:val="0"/>
          <w:sz w:val="28"/>
          <w:szCs w:val="28"/>
        </w:rPr>
      </w:pPr>
      <w:r>
        <w:t>应能够读取身份证包含的详细信息，包括但不限于姓名、身份证号码等。</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性能要求</w:t>
      </w:r>
    </w:p>
    <w:p>
      <w:pPr>
        <w:ind w:firstLine="420"/>
      </w:pPr>
      <w:r>
        <w:rPr>
          <w:rFonts w:hint="eastAsia"/>
        </w:rPr>
        <w:t>应符合我国居民身份证读卡器标准和ISO14443（TypeB）国际标准要求</w:t>
      </w:r>
      <w:r>
        <w:t>。</w:t>
      </w:r>
      <w:r>
        <w:rPr>
          <w:rFonts w:hint="eastAsia"/>
        </w:rPr>
        <w:t>接口</w:t>
      </w:r>
      <w:r>
        <w:t>应包含但不限</w:t>
      </w:r>
      <w:r>
        <w:rPr>
          <w:rFonts w:hint="eastAsia"/>
        </w:rPr>
        <w:t>RS-232C、ECP并口、USB口、RJ-11（Modem）</w:t>
      </w:r>
      <w:r>
        <w:t>。</w:t>
      </w:r>
      <w:r>
        <w:rPr>
          <w:rFonts w:hint="eastAsia"/>
        </w:rPr>
        <w:t>工作频率</w:t>
      </w:r>
      <w:r>
        <w:t>、</w:t>
      </w:r>
      <w:r>
        <w:rPr>
          <w:rFonts w:hint="eastAsia"/>
        </w:rPr>
        <w:t>卡片的通讯速率</w:t>
      </w:r>
      <w:r>
        <w:t>可根据具体项目和景区而定。</w:t>
      </w:r>
    </w:p>
    <w:p>
      <w:pPr>
        <w:pStyle w:val="48"/>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PDA</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功能要求</w:t>
      </w:r>
    </w:p>
    <w:p>
      <w:pPr>
        <w:ind w:firstLine="420"/>
      </w:pPr>
      <w:r>
        <w:t>应能实现通过扫码、读取身份证查询并检票。</w:t>
      </w:r>
    </w:p>
    <w:p>
      <w:pPr>
        <w:pStyle w:val="47"/>
        <w:tabs>
          <w:tab w:val="left" w:pos="360"/>
        </w:tabs>
        <w:wordWrap/>
        <w:spacing w:before="156" w:after="156"/>
        <w:rPr>
          <w:rStyle w:val="24"/>
          <w:rFonts w:hint="default" w:ascii="黑体" w:hAnsi="黑体" w:eastAsia="黑体"/>
          <w:color w:val="auto"/>
          <w:sz w:val="21"/>
          <w:szCs w:val="21"/>
        </w:rPr>
      </w:pPr>
      <w:r>
        <w:rPr>
          <w:rStyle w:val="24"/>
          <w:rFonts w:hint="default" w:ascii="黑体" w:hAnsi="黑体" w:eastAsia="黑体"/>
          <w:color w:val="auto"/>
          <w:sz w:val="21"/>
          <w:szCs w:val="21"/>
        </w:rPr>
        <w:t>性能要求</w:t>
      </w:r>
    </w:p>
    <w:p>
      <w:pPr>
        <w:ind w:firstLine="420"/>
      </w:pPr>
      <w:r>
        <w:t>对于检票速度，条码</w:t>
      </w:r>
      <w:r>
        <w:rPr>
          <w:rFonts w:ascii="Helvetica Neue" w:hAnsi="Helvetica Neue" w:eastAsia="Helvetica Neue" w:cs="Helvetica Neue"/>
        </w:rPr>
        <w:t>/</w:t>
      </w:r>
      <w:r>
        <w:t>二维码票应</w:t>
      </w:r>
      <w:r>
        <w:rPr>
          <w:rFonts w:ascii="Helvetica Neue" w:hAnsi="Helvetica Neue" w:eastAsia="Helvetica Neue" w:cs="Helvetica Neue"/>
        </w:rPr>
        <w:t>不大于</w:t>
      </w:r>
      <w:r>
        <w:rPr>
          <w:rFonts w:hint="eastAsia"/>
        </w:rPr>
        <w:t>1</w:t>
      </w:r>
      <w:r>
        <w:t>秒</w:t>
      </w:r>
      <w:r>
        <w:rPr>
          <w:rFonts w:hint="eastAsia"/>
        </w:rPr>
        <w:t>，</w:t>
      </w:r>
      <w:r>
        <w:t>身份证票应</w:t>
      </w:r>
      <w:r>
        <w:rPr>
          <w:rFonts w:ascii="Helvetica Neue" w:hAnsi="Helvetica Neue" w:eastAsia="Helvetica Neue" w:cs="Helvetica Neue"/>
        </w:rPr>
        <w:t>不大于</w:t>
      </w:r>
      <w:r>
        <w:rPr>
          <w:rFonts w:hint="eastAsia"/>
        </w:rPr>
        <w:t>2</w:t>
      </w:r>
      <w:r>
        <w:t>秒；具有</w:t>
      </w:r>
      <w:r>
        <w:rPr>
          <w:rFonts w:hint="eastAsia"/>
        </w:rPr>
        <w:t>二维码、二代</w:t>
      </w:r>
      <w:r>
        <w:t>身份</w:t>
      </w:r>
      <w:r>
        <w:rPr>
          <w:rFonts w:hint="eastAsia"/>
        </w:rPr>
        <w:t>证</w:t>
      </w:r>
      <w:r>
        <w:t>号</w:t>
      </w:r>
      <w:r>
        <w:rPr>
          <w:rFonts w:hint="eastAsia"/>
        </w:rPr>
        <w:t>识别</w:t>
      </w:r>
      <w:r>
        <w:t>功能；支持WIFI和4G网络；待机时长</w:t>
      </w:r>
      <w:r>
        <w:rPr>
          <w:rFonts w:hint="eastAsia"/>
        </w:rPr>
        <w:t>不低于8小时</w:t>
      </w:r>
      <w:r>
        <w:t>。</w:t>
      </w:r>
    </w:p>
    <w:sectPr>
      <w:footerReference r:id="rId8"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Helvetica Neue">
    <w:altName w:val="Sylfaen"/>
    <w:panose1 w:val="00000000000000000000"/>
    <w:charset w:val="00"/>
    <w:family w:val="auto"/>
    <w:pitch w:val="default"/>
    <w:sig w:usb0="00000000" w:usb1="00000000" w:usb2="00000010" w:usb3="00000000" w:csb0="00000001" w:csb1="00000000"/>
  </w:font>
  <w:font w:name="Sylfaen">
    <w:panose1 w:val="010A0502050306030303"/>
    <w:charset w:val="00"/>
    <w:family w:val="auto"/>
    <w:pitch w:val="default"/>
    <w:sig w:usb0="04000687" w:usb1="00000000" w:usb2="00000000" w:usb3="00000000" w:csb0="2000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fldChar w:fldCharType="begin"/>
    </w:r>
    <w:r>
      <w:instrText xml:space="preserve">PAGE   \* MERGEFORMAT</w:instrText>
    </w:r>
    <w:r>
      <w:fldChar w:fldCharType="separate"/>
    </w:r>
    <w:r>
      <w:rPr>
        <w:lang w:val="zh-CN"/>
      </w:rPr>
      <w:t>25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jc w:val="right"/>
                          </w:pPr>
                          <w:r>
                            <w:fldChar w:fldCharType="begin"/>
                          </w:r>
                          <w:r>
                            <w:instrText xml:space="preserve">PAGE   \* MERGEFORMAT</w:instrText>
                          </w:r>
                          <w:r>
                            <w:fldChar w:fldCharType="separate"/>
                          </w:r>
                          <w:r>
                            <w:rPr>
                              <w:lang w:val="zh-CN"/>
                            </w:rP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10"/>
                      <w:jc w:val="right"/>
                    </w:pPr>
                    <w:r>
                      <w:fldChar w:fldCharType="begin"/>
                    </w:r>
                    <w:r>
                      <w:instrText xml:space="preserve">PAGE   \* MERGEFORMAT</w:instrText>
                    </w:r>
                    <w:r>
                      <w:fldChar w:fldCharType="separate"/>
                    </w:r>
                    <w:r>
                      <w:rPr>
                        <w:lang w:val="zh-CN"/>
                      </w:rPr>
                      <w:t>25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rFonts w:hint="eastAsia"/>
      </w:rPr>
      <w:t>T</w:t>
    </w:r>
    <w:r>
      <w:t>/</w:t>
    </w:r>
    <w:r>
      <w:rPr>
        <w:rFonts w:hint="eastAsia"/>
      </w:rPr>
      <w:t xml:space="preserve">CNPA </w:t>
    </w:r>
    <w:r>
      <w:t>XXX-202</w:t>
    </w:r>
    <w:r>
      <w:rPr>
        <w:rFonts w:hint="eastAsia"/>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rFonts w:hint="eastAsia"/>
      </w:rPr>
      <w:t>T</w:t>
    </w:r>
    <w:r>
      <w:t>/</w:t>
    </w:r>
    <w:r>
      <w:rPr>
        <w:rFonts w:hint="eastAsia"/>
      </w:rPr>
      <w:t>CNPAXX</w:t>
    </w:r>
    <w:r>
      <w:t>X-202</w:t>
    </w:r>
    <w:r>
      <w:rPr>
        <w:rFonts w:hint="eastAsia"/>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86F345"/>
    <w:multiLevelType w:val="singleLevel"/>
    <w:tmpl w:val="D286F345"/>
    <w:lvl w:ilvl="0" w:tentative="0">
      <w:start w:val="1"/>
      <w:numFmt w:val="lowerLetter"/>
      <w:suff w:val="space"/>
      <w:lvlText w:val="%1）"/>
      <w:lvlJc w:val="left"/>
    </w:lvl>
  </w:abstractNum>
  <w:abstractNum w:abstractNumId="1">
    <w:nsid w:val="1E652E39"/>
    <w:multiLevelType w:val="multilevel"/>
    <w:tmpl w:val="1E652E39"/>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32216B44"/>
    <w:multiLevelType w:val="multilevel"/>
    <w:tmpl w:val="32216B44"/>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4">
    <w:nsid w:val="3A0A5F15"/>
    <w:multiLevelType w:val="multilevel"/>
    <w:tmpl w:val="3A0A5F15"/>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5">
    <w:nsid w:val="3B9B6661"/>
    <w:multiLevelType w:val="multilevel"/>
    <w:tmpl w:val="3B9B6661"/>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6">
    <w:nsid w:val="3D105E51"/>
    <w:multiLevelType w:val="multilevel"/>
    <w:tmpl w:val="3D105E51"/>
    <w:lvl w:ilvl="0" w:tentative="0">
      <w:start w:val="1"/>
      <w:numFmt w:val="bullet"/>
      <w:pStyle w:val="49"/>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43321292"/>
    <w:multiLevelType w:val="multilevel"/>
    <w:tmpl w:val="43321292"/>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8">
    <w:nsid w:val="46AE3D53"/>
    <w:multiLevelType w:val="multilevel"/>
    <w:tmpl w:val="46AE3D53"/>
    <w:lvl w:ilvl="0" w:tentative="0">
      <w:start w:val="1"/>
      <w:numFmt w:val="lowerLetter"/>
      <w:pStyle w:val="40"/>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9">
    <w:nsid w:val="57D41B12"/>
    <w:multiLevelType w:val="multilevel"/>
    <w:tmpl w:val="57D41B12"/>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0">
    <w:nsid w:val="58BA0FD3"/>
    <w:multiLevelType w:val="multilevel"/>
    <w:tmpl w:val="58BA0FD3"/>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1">
    <w:nsid w:val="5F44E86A"/>
    <w:multiLevelType w:val="singleLevel"/>
    <w:tmpl w:val="5F44E86A"/>
    <w:lvl w:ilvl="0" w:tentative="0">
      <w:start w:val="1"/>
      <w:numFmt w:val="lowerLetter"/>
      <w:suff w:val="nothing"/>
      <w:lvlText w:val="%1）"/>
      <w:lvlJc w:val="left"/>
    </w:lvl>
  </w:abstractNum>
  <w:abstractNum w:abstractNumId="12">
    <w:nsid w:val="657D3FBC"/>
    <w:multiLevelType w:val="multilevel"/>
    <w:tmpl w:val="657D3FBC"/>
    <w:lvl w:ilvl="0" w:tentative="0">
      <w:start w:val="1"/>
      <w:numFmt w:val="upperLetter"/>
      <w:pStyle w:val="41"/>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8"/>
      <w:suff w:val="nothing"/>
      <w:lvlText w:val="%1.%2.%3　"/>
      <w:lvlJc w:val="left"/>
      <w:pPr>
        <w:ind w:left="0" w:firstLine="0"/>
      </w:pPr>
      <w:rPr>
        <w:rFonts w:hint="eastAsia" w:ascii="黑体" w:hAnsi="Times New Roman" w:eastAsia="黑体"/>
        <w:b w:val="0"/>
        <w:i w:val="0"/>
        <w:sz w:val="21"/>
      </w:rPr>
    </w:lvl>
    <w:lvl w:ilvl="3" w:tentative="0">
      <w:start w:val="1"/>
      <w:numFmt w:val="decimal"/>
      <w:pStyle w:val="48"/>
      <w:suff w:val="nothing"/>
      <w:lvlText w:val="%1.%2.%3.%4　"/>
      <w:lvlJc w:val="left"/>
      <w:pPr>
        <w:ind w:left="0" w:firstLine="0"/>
      </w:pPr>
      <w:rPr>
        <w:rFonts w:hint="eastAsia" w:ascii="黑体" w:hAnsi="Times New Roman" w:eastAsia="黑体"/>
        <w:b w:val="0"/>
        <w:i w:val="0"/>
        <w:sz w:val="21"/>
      </w:rPr>
    </w:lvl>
    <w:lvl w:ilvl="4" w:tentative="0">
      <w:start w:val="1"/>
      <w:numFmt w:val="decimal"/>
      <w:pStyle w:val="47"/>
      <w:suff w:val="nothing"/>
      <w:lvlText w:val="%1.%2.%3.%4.%5　"/>
      <w:lvlJc w:val="left"/>
      <w:pPr>
        <w:ind w:left="0" w:firstLine="0"/>
      </w:pPr>
      <w:rPr>
        <w:rFonts w:hint="eastAsia" w:ascii="黑体" w:hAnsi="Times New Roman" w:eastAsia="黑体"/>
        <w:b w:val="0"/>
        <w:i w:val="0"/>
        <w:sz w:val="21"/>
      </w:rPr>
    </w:lvl>
    <w:lvl w:ilvl="5" w:tentative="0">
      <w:start w:val="1"/>
      <w:numFmt w:val="decimal"/>
      <w:pStyle w:val="5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6E35E45"/>
    <w:multiLevelType w:val="multilevel"/>
    <w:tmpl w:val="66E35E45"/>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4">
    <w:nsid w:val="70B76B1F"/>
    <w:multiLevelType w:val="multilevel"/>
    <w:tmpl w:val="70B76B1F"/>
    <w:lvl w:ilvl="0" w:tentative="0">
      <w:start w:val="1"/>
      <w:numFmt w:val="lowerLetter"/>
      <w:lvlText w:val="%1)"/>
      <w:lvlJc w:val="left"/>
      <w:pPr>
        <w:ind w:left="840" w:hanging="440"/>
      </w:pPr>
      <w:rPr>
        <w:rFonts w:hint="default"/>
      </w:rPr>
    </w:lvl>
    <w:lvl w:ilvl="1" w:tentative="0">
      <w:start w:val="1"/>
      <w:numFmt w:val="lowerLetter"/>
      <w:lvlText w:val="%2)"/>
      <w:lvlJc w:val="left"/>
      <w:pPr>
        <w:ind w:left="1360" w:hanging="480"/>
      </w:pPr>
    </w:lvl>
    <w:lvl w:ilvl="2" w:tentative="0">
      <w:start w:val="1"/>
      <w:numFmt w:val="lowerRoman"/>
      <w:lvlText w:val="%3."/>
      <w:lvlJc w:val="right"/>
      <w:pPr>
        <w:ind w:left="1840" w:hanging="480"/>
      </w:pPr>
    </w:lvl>
    <w:lvl w:ilvl="3" w:tentative="0">
      <w:start w:val="1"/>
      <w:numFmt w:val="decimal"/>
      <w:lvlText w:val="%4."/>
      <w:lvlJc w:val="left"/>
      <w:pPr>
        <w:ind w:left="2320" w:hanging="480"/>
      </w:pPr>
    </w:lvl>
    <w:lvl w:ilvl="4" w:tentative="0">
      <w:start w:val="1"/>
      <w:numFmt w:val="lowerLetter"/>
      <w:lvlText w:val="%5)"/>
      <w:lvlJc w:val="left"/>
      <w:pPr>
        <w:ind w:left="2800" w:hanging="480"/>
      </w:pPr>
    </w:lvl>
    <w:lvl w:ilvl="5" w:tentative="0">
      <w:start w:val="1"/>
      <w:numFmt w:val="lowerRoman"/>
      <w:lvlText w:val="%6."/>
      <w:lvlJc w:val="right"/>
      <w:pPr>
        <w:ind w:left="3280" w:hanging="480"/>
      </w:pPr>
    </w:lvl>
    <w:lvl w:ilvl="6" w:tentative="0">
      <w:start w:val="1"/>
      <w:numFmt w:val="decimal"/>
      <w:lvlText w:val="%7."/>
      <w:lvlJc w:val="left"/>
      <w:pPr>
        <w:ind w:left="3760" w:hanging="480"/>
      </w:pPr>
    </w:lvl>
    <w:lvl w:ilvl="7" w:tentative="0">
      <w:start w:val="1"/>
      <w:numFmt w:val="lowerLetter"/>
      <w:lvlText w:val="%8)"/>
      <w:lvlJc w:val="left"/>
      <w:pPr>
        <w:ind w:left="4240" w:hanging="480"/>
      </w:pPr>
    </w:lvl>
    <w:lvl w:ilvl="8" w:tentative="0">
      <w:start w:val="1"/>
      <w:numFmt w:val="lowerRoman"/>
      <w:lvlText w:val="%9."/>
      <w:lvlJc w:val="right"/>
      <w:pPr>
        <w:ind w:left="4720" w:hanging="480"/>
      </w:pPr>
    </w:lvl>
  </w:abstractNum>
  <w:abstractNum w:abstractNumId="15">
    <w:nsid w:val="7E7E72D0"/>
    <w:multiLevelType w:val="multilevel"/>
    <w:tmpl w:val="7E7E72D0"/>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12"/>
  </w:num>
  <w:num w:numId="2">
    <w:abstractNumId w:val="8"/>
  </w:num>
  <w:num w:numId="3">
    <w:abstractNumId w:val="6"/>
  </w:num>
  <w:num w:numId="4">
    <w:abstractNumId w:val="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7"/>
  </w:num>
  <w:num w:numId="8">
    <w:abstractNumId w:val="0"/>
  </w:num>
  <w:num w:numId="9">
    <w:abstractNumId w:val="13"/>
  </w:num>
  <w:num w:numId="10">
    <w:abstractNumId w:val="1"/>
  </w:num>
  <w:num w:numId="11">
    <w:abstractNumId w:val="15"/>
  </w:num>
  <w:num w:numId="12">
    <w:abstractNumId w:val="4"/>
  </w:num>
  <w:num w:numId="13">
    <w:abstractNumId w:val="3"/>
  </w:num>
  <w:num w:numId="14">
    <w:abstractNumId w:val="5"/>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6B"/>
    <w:rsid w:val="000038F1"/>
    <w:rsid w:val="000067ED"/>
    <w:rsid w:val="000212D1"/>
    <w:rsid w:val="000216F2"/>
    <w:rsid w:val="00032D59"/>
    <w:rsid w:val="00032EC6"/>
    <w:rsid w:val="00047B1B"/>
    <w:rsid w:val="000508C1"/>
    <w:rsid w:val="00057754"/>
    <w:rsid w:val="00081452"/>
    <w:rsid w:val="000944B8"/>
    <w:rsid w:val="000A094F"/>
    <w:rsid w:val="000A73F9"/>
    <w:rsid w:val="000B314E"/>
    <w:rsid w:val="000C6F60"/>
    <w:rsid w:val="000D1BBD"/>
    <w:rsid w:val="000E3C13"/>
    <w:rsid w:val="000E525F"/>
    <w:rsid w:val="001021AF"/>
    <w:rsid w:val="00111ED0"/>
    <w:rsid w:val="001145D6"/>
    <w:rsid w:val="00117E56"/>
    <w:rsid w:val="00122BC9"/>
    <w:rsid w:val="00127929"/>
    <w:rsid w:val="00133CDF"/>
    <w:rsid w:val="00160E46"/>
    <w:rsid w:val="001642B9"/>
    <w:rsid w:val="00166274"/>
    <w:rsid w:val="00167AC9"/>
    <w:rsid w:val="00176189"/>
    <w:rsid w:val="00184EED"/>
    <w:rsid w:val="00190389"/>
    <w:rsid w:val="00191506"/>
    <w:rsid w:val="001977F5"/>
    <w:rsid w:val="001A30B6"/>
    <w:rsid w:val="001B1E1E"/>
    <w:rsid w:val="001B21DF"/>
    <w:rsid w:val="001B5529"/>
    <w:rsid w:val="001C0583"/>
    <w:rsid w:val="001C2CBF"/>
    <w:rsid w:val="001D22FA"/>
    <w:rsid w:val="001E0931"/>
    <w:rsid w:val="001E3C9E"/>
    <w:rsid w:val="001F1946"/>
    <w:rsid w:val="001F19F1"/>
    <w:rsid w:val="002038E3"/>
    <w:rsid w:val="00214E6E"/>
    <w:rsid w:val="00235BAD"/>
    <w:rsid w:val="002365D2"/>
    <w:rsid w:val="00240CAA"/>
    <w:rsid w:val="00261453"/>
    <w:rsid w:val="00264EC9"/>
    <w:rsid w:val="00270E73"/>
    <w:rsid w:val="00283AB3"/>
    <w:rsid w:val="00283B4B"/>
    <w:rsid w:val="00286BEC"/>
    <w:rsid w:val="00286DCF"/>
    <w:rsid w:val="002A0394"/>
    <w:rsid w:val="002A49CC"/>
    <w:rsid w:val="002C02A7"/>
    <w:rsid w:val="002C212E"/>
    <w:rsid w:val="002C3F3E"/>
    <w:rsid w:val="002F346C"/>
    <w:rsid w:val="00331129"/>
    <w:rsid w:val="003424FB"/>
    <w:rsid w:val="00346877"/>
    <w:rsid w:val="00354059"/>
    <w:rsid w:val="0035615E"/>
    <w:rsid w:val="00371350"/>
    <w:rsid w:val="00390113"/>
    <w:rsid w:val="00394828"/>
    <w:rsid w:val="00394D50"/>
    <w:rsid w:val="003A1690"/>
    <w:rsid w:val="003A1E32"/>
    <w:rsid w:val="003A60EF"/>
    <w:rsid w:val="003B1C79"/>
    <w:rsid w:val="003C7A48"/>
    <w:rsid w:val="003D1132"/>
    <w:rsid w:val="003E3C6B"/>
    <w:rsid w:val="003F2CC5"/>
    <w:rsid w:val="00403BA1"/>
    <w:rsid w:val="00404DF2"/>
    <w:rsid w:val="00414C3E"/>
    <w:rsid w:val="0042353A"/>
    <w:rsid w:val="00435C76"/>
    <w:rsid w:val="004623AA"/>
    <w:rsid w:val="0046352E"/>
    <w:rsid w:val="00467D79"/>
    <w:rsid w:val="00474246"/>
    <w:rsid w:val="004830CD"/>
    <w:rsid w:val="00486E8B"/>
    <w:rsid w:val="00490C4A"/>
    <w:rsid w:val="0049686C"/>
    <w:rsid w:val="004B1AC9"/>
    <w:rsid w:val="004B2286"/>
    <w:rsid w:val="004B5C02"/>
    <w:rsid w:val="004B61E4"/>
    <w:rsid w:val="004C2459"/>
    <w:rsid w:val="004D05E9"/>
    <w:rsid w:val="004D1052"/>
    <w:rsid w:val="004D497C"/>
    <w:rsid w:val="004D7194"/>
    <w:rsid w:val="004E4A5E"/>
    <w:rsid w:val="00502557"/>
    <w:rsid w:val="00513CDF"/>
    <w:rsid w:val="005179CC"/>
    <w:rsid w:val="00521338"/>
    <w:rsid w:val="00530AE8"/>
    <w:rsid w:val="00531D2D"/>
    <w:rsid w:val="00532CE5"/>
    <w:rsid w:val="00534634"/>
    <w:rsid w:val="00545CCD"/>
    <w:rsid w:val="005547C5"/>
    <w:rsid w:val="005607CD"/>
    <w:rsid w:val="005A374E"/>
    <w:rsid w:val="005A688D"/>
    <w:rsid w:val="005B0B36"/>
    <w:rsid w:val="005B74FB"/>
    <w:rsid w:val="005B7F60"/>
    <w:rsid w:val="005C3CD1"/>
    <w:rsid w:val="005C48EF"/>
    <w:rsid w:val="005D45CA"/>
    <w:rsid w:val="005E1F27"/>
    <w:rsid w:val="005E4972"/>
    <w:rsid w:val="00602FA0"/>
    <w:rsid w:val="006042C5"/>
    <w:rsid w:val="006114DF"/>
    <w:rsid w:val="006205C2"/>
    <w:rsid w:val="00620CD0"/>
    <w:rsid w:val="00643C75"/>
    <w:rsid w:val="00644292"/>
    <w:rsid w:val="00644F11"/>
    <w:rsid w:val="00646BD9"/>
    <w:rsid w:val="00647C33"/>
    <w:rsid w:val="00664905"/>
    <w:rsid w:val="00665AC3"/>
    <w:rsid w:val="0067492C"/>
    <w:rsid w:val="00680355"/>
    <w:rsid w:val="006917F6"/>
    <w:rsid w:val="00697896"/>
    <w:rsid w:val="006A5065"/>
    <w:rsid w:val="006E6B4F"/>
    <w:rsid w:val="006F3F5A"/>
    <w:rsid w:val="00704476"/>
    <w:rsid w:val="00721509"/>
    <w:rsid w:val="00721A84"/>
    <w:rsid w:val="00721C76"/>
    <w:rsid w:val="0073105C"/>
    <w:rsid w:val="007348C7"/>
    <w:rsid w:val="00752298"/>
    <w:rsid w:val="0077587B"/>
    <w:rsid w:val="00776B06"/>
    <w:rsid w:val="007907C1"/>
    <w:rsid w:val="00793FE9"/>
    <w:rsid w:val="007A1309"/>
    <w:rsid w:val="007A1985"/>
    <w:rsid w:val="007B161F"/>
    <w:rsid w:val="007C1D93"/>
    <w:rsid w:val="007C6EBF"/>
    <w:rsid w:val="007D3FD7"/>
    <w:rsid w:val="007E3C7E"/>
    <w:rsid w:val="00801055"/>
    <w:rsid w:val="00831843"/>
    <w:rsid w:val="0083449A"/>
    <w:rsid w:val="00845023"/>
    <w:rsid w:val="008454E0"/>
    <w:rsid w:val="00845D24"/>
    <w:rsid w:val="00850073"/>
    <w:rsid w:val="0087152E"/>
    <w:rsid w:val="00884F3D"/>
    <w:rsid w:val="008B1182"/>
    <w:rsid w:val="008D1B48"/>
    <w:rsid w:val="008D6E8C"/>
    <w:rsid w:val="008F1747"/>
    <w:rsid w:val="008F5A32"/>
    <w:rsid w:val="008F75EC"/>
    <w:rsid w:val="00915D1E"/>
    <w:rsid w:val="00923061"/>
    <w:rsid w:val="00927535"/>
    <w:rsid w:val="00933325"/>
    <w:rsid w:val="009429D3"/>
    <w:rsid w:val="0095526D"/>
    <w:rsid w:val="0096753D"/>
    <w:rsid w:val="00981D03"/>
    <w:rsid w:val="009A115B"/>
    <w:rsid w:val="009C2FC3"/>
    <w:rsid w:val="009C7883"/>
    <w:rsid w:val="009E3E4E"/>
    <w:rsid w:val="009F7795"/>
    <w:rsid w:val="00A40DBC"/>
    <w:rsid w:val="00A8795D"/>
    <w:rsid w:val="00AA00AD"/>
    <w:rsid w:val="00AE1093"/>
    <w:rsid w:val="00AE2246"/>
    <w:rsid w:val="00AE6D32"/>
    <w:rsid w:val="00AF2924"/>
    <w:rsid w:val="00AF5C14"/>
    <w:rsid w:val="00B12BA9"/>
    <w:rsid w:val="00B20DC5"/>
    <w:rsid w:val="00B20E99"/>
    <w:rsid w:val="00B214D0"/>
    <w:rsid w:val="00B30187"/>
    <w:rsid w:val="00B314A4"/>
    <w:rsid w:val="00B3182C"/>
    <w:rsid w:val="00B32755"/>
    <w:rsid w:val="00B33B52"/>
    <w:rsid w:val="00B355B5"/>
    <w:rsid w:val="00B4113C"/>
    <w:rsid w:val="00B4525F"/>
    <w:rsid w:val="00B47536"/>
    <w:rsid w:val="00B50CAC"/>
    <w:rsid w:val="00B620AD"/>
    <w:rsid w:val="00B703AE"/>
    <w:rsid w:val="00B81D0A"/>
    <w:rsid w:val="00B914B4"/>
    <w:rsid w:val="00B946F0"/>
    <w:rsid w:val="00BA18F1"/>
    <w:rsid w:val="00BA363B"/>
    <w:rsid w:val="00BB30F7"/>
    <w:rsid w:val="00BB667E"/>
    <w:rsid w:val="00BC2110"/>
    <w:rsid w:val="00BD03F8"/>
    <w:rsid w:val="00BE76E9"/>
    <w:rsid w:val="00BF3A77"/>
    <w:rsid w:val="00C2522A"/>
    <w:rsid w:val="00C2630B"/>
    <w:rsid w:val="00C30964"/>
    <w:rsid w:val="00C34857"/>
    <w:rsid w:val="00C442FD"/>
    <w:rsid w:val="00C44B0B"/>
    <w:rsid w:val="00C54C85"/>
    <w:rsid w:val="00C55B69"/>
    <w:rsid w:val="00C8199B"/>
    <w:rsid w:val="00C82224"/>
    <w:rsid w:val="00C828A2"/>
    <w:rsid w:val="00CA26C2"/>
    <w:rsid w:val="00CC188A"/>
    <w:rsid w:val="00CE044B"/>
    <w:rsid w:val="00CE280C"/>
    <w:rsid w:val="00CE406F"/>
    <w:rsid w:val="00CF0266"/>
    <w:rsid w:val="00CF4477"/>
    <w:rsid w:val="00D0405F"/>
    <w:rsid w:val="00D1715B"/>
    <w:rsid w:val="00D31B1E"/>
    <w:rsid w:val="00D41978"/>
    <w:rsid w:val="00D54303"/>
    <w:rsid w:val="00D62337"/>
    <w:rsid w:val="00D6370B"/>
    <w:rsid w:val="00D7381C"/>
    <w:rsid w:val="00D76A6D"/>
    <w:rsid w:val="00D80DDE"/>
    <w:rsid w:val="00D90543"/>
    <w:rsid w:val="00D93606"/>
    <w:rsid w:val="00D95D57"/>
    <w:rsid w:val="00DA4ADA"/>
    <w:rsid w:val="00DB6413"/>
    <w:rsid w:val="00DC63F6"/>
    <w:rsid w:val="00DD2E30"/>
    <w:rsid w:val="00DF0A06"/>
    <w:rsid w:val="00DF27FD"/>
    <w:rsid w:val="00E00D4C"/>
    <w:rsid w:val="00E0178F"/>
    <w:rsid w:val="00E03DF7"/>
    <w:rsid w:val="00E052A9"/>
    <w:rsid w:val="00E103ED"/>
    <w:rsid w:val="00E117F0"/>
    <w:rsid w:val="00E328A1"/>
    <w:rsid w:val="00E350C7"/>
    <w:rsid w:val="00E406C5"/>
    <w:rsid w:val="00E47E21"/>
    <w:rsid w:val="00E65AC7"/>
    <w:rsid w:val="00E714B7"/>
    <w:rsid w:val="00E73382"/>
    <w:rsid w:val="00E81451"/>
    <w:rsid w:val="00EA43CE"/>
    <w:rsid w:val="00EE0A28"/>
    <w:rsid w:val="00EE2D9F"/>
    <w:rsid w:val="00F3262D"/>
    <w:rsid w:val="00F3569E"/>
    <w:rsid w:val="00F35FCB"/>
    <w:rsid w:val="00F45DB8"/>
    <w:rsid w:val="00F75182"/>
    <w:rsid w:val="00F76DC7"/>
    <w:rsid w:val="00F8090C"/>
    <w:rsid w:val="00F80CEB"/>
    <w:rsid w:val="00F8323E"/>
    <w:rsid w:val="00F85311"/>
    <w:rsid w:val="00F85BA3"/>
    <w:rsid w:val="00F9023F"/>
    <w:rsid w:val="00F9138D"/>
    <w:rsid w:val="00F9768D"/>
    <w:rsid w:val="00FA2F3C"/>
    <w:rsid w:val="00FE1478"/>
    <w:rsid w:val="00FF5D82"/>
    <w:rsid w:val="03C103B5"/>
    <w:rsid w:val="05176B36"/>
    <w:rsid w:val="10726DB8"/>
    <w:rsid w:val="193C4C49"/>
    <w:rsid w:val="1F205973"/>
    <w:rsid w:val="24A37B0F"/>
    <w:rsid w:val="271E50CD"/>
    <w:rsid w:val="2CEE24E6"/>
    <w:rsid w:val="2DFC1085"/>
    <w:rsid w:val="2F801E8D"/>
    <w:rsid w:val="335D6836"/>
    <w:rsid w:val="337C1F66"/>
    <w:rsid w:val="35B320FC"/>
    <w:rsid w:val="4AA253AB"/>
    <w:rsid w:val="4BBE5EF5"/>
    <w:rsid w:val="52302D51"/>
    <w:rsid w:val="55277CA2"/>
    <w:rsid w:val="5F274524"/>
    <w:rsid w:val="64BE37BC"/>
    <w:rsid w:val="693D359D"/>
    <w:rsid w:val="72C1024F"/>
    <w:rsid w:val="79D9260E"/>
    <w:rsid w:val="B1BE71AF"/>
    <w:rsid w:val="F5FF77DF"/>
    <w:rsid w:val="FBFD0C0C"/>
    <w:rsid w:val="FDBF9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26"/>
    <w:qFormat/>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23"/>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caption"/>
    <w:basedOn w:val="1"/>
    <w:next w:val="1"/>
    <w:qFormat/>
    <w:uiPriority w:val="0"/>
    <w:pPr>
      <w:spacing w:before="152" w:after="160"/>
    </w:pPr>
    <w:rPr>
      <w:rFonts w:ascii="Arial" w:hAnsi="Arial" w:eastAsia="黑体" w:cs="Arial"/>
      <w:sz w:val="20"/>
      <w:szCs w:val="20"/>
    </w:rPr>
  </w:style>
  <w:style w:type="paragraph" w:styleId="6">
    <w:name w:val="annotation text"/>
    <w:basedOn w:val="1"/>
    <w:link w:val="22"/>
    <w:qFormat/>
    <w:uiPriority w:val="0"/>
    <w:pPr>
      <w:jc w:val="left"/>
    </w:pPr>
  </w:style>
  <w:style w:type="paragraph" w:styleId="7">
    <w:name w:val="Body Text"/>
    <w:basedOn w:val="1"/>
    <w:qFormat/>
    <w:uiPriority w:val="0"/>
    <w:pPr>
      <w:ind w:left="124" w:firstLine="200" w:firstLineChars="200"/>
      <w:jc w:val="left"/>
    </w:pPr>
    <w:rPr>
      <w:rFonts w:ascii="宋体" w:hAnsi="宋体"/>
      <w:kern w:val="0"/>
      <w:sz w:val="20"/>
      <w:szCs w:val="20"/>
    </w:rPr>
  </w:style>
  <w:style w:type="paragraph" w:styleId="8">
    <w:name w:val="toc 3"/>
    <w:basedOn w:val="1"/>
    <w:next w:val="1"/>
    <w:qFormat/>
    <w:uiPriority w:val="39"/>
    <w:pPr>
      <w:ind w:left="840" w:leftChars="400"/>
    </w:pPr>
  </w:style>
  <w:style w:type="paragraph" w:styleId="9">
    <w:name w:val="Balloon Text"/>
    <w:basedOn w:val="1"/>
    <w:link w:val="25"/>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spacing w:before="120" w:after="120"/>
      <w:jc w:val="left"/>
    </w:pPr>
    <w:rPr>
      <w:rFonts w:ascii="Calibri" w:hAnsi="Calibri" w:cs="Calibri"/>
      <w:b/>
      <w:bCs/>
      <w:caps/>
      <w:sz w:val="20"/>
      <w:szCs w:val="20"/>
    </w:rPr>
  </w:style>
  <w:style w:type="paragraph" w:styleId="13">
    <w:name w:val="toc 2"/>
    <w:basedOn w:val="1"/>
    <w:next w:val="1"/>
    <w:qFormat/>
    <w:uiPriority w:val="39"/>
    <w:pPr>
      <w:ind w:left="210"/>
      <w:jc w:val="left"/>
    </w:pPr>
    <w:rPr>
      <w:rFonts w:ascii="Calibri" w:hAnsi="Calibri" w:cs="Calibri"/>
      <w:smallCaps/>
      <w:sz w:val="20"/>
      <w:szCs w:val="20"/>
    </w:rPr>
  </w:style>
  <w:style w:type="paragraph" w:styleId="14">
    <w:name w:val="annotation subject"/>
    <w:basedOn w:val="6"/>
    <w:next w:val="6"/>
    <w:link w:val="27"/>
    <w:qFormat/>
    <w:uiPriority w:val="0"/>
    <w:rPr>
      <w:b/>
      <w:bCs/>
    </w:rPr>
  </w:style>
  <w:style w:type="table" w:styleId="16">
    <w:name w:val="Table Grid"/>
    <w:basedOn w:val="15"/>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22"/>
    <w:rPr>
      <w:b/>
      <w:bCs/>
    </w:rPr>
  </w:style>
  <w:style w:type="character" w:styleId="19">
    <w:name w:val="Hyperlink"/>
    <w:qFormat/>
    <w:uiPriority w:val="99"/>
    <w:rPr>
      <w:color w:val="0000FF"/>
      <w:spacing w:val="0"/>
      <w:w w:val="100"/>
      <w:szCs w:val="21"/>
      <w:u w:val="single"/>
    </w:rPr>
  </w:style>
  <w:style w:type="character" w:styleId="20">
    <w:name w:val="annotation reference"/>
    <w:qFormat/>
    <w:uiPriority w:val="0"/>
    <w:rPr>
      <w:sz w:val="21"/>
      <w:szCs w:val="21"/>
    </w:rPr>
  </w:style>
  <w:style w:type="character" w:customStyle="1" w:styleId="21">
    <w:name w:val="页眉 字符"/>
    <w:link w:val="11"/>
    <w:qFormat/>
    <w:uiPriority w:val="0"/>
    <w:rPr>
      <w:rFonts w:ascii="Times New Roman" w:hAnsi="Times New Roman"/>
      <w:kern w:val="2"/>
      <w:sz w:val="18"/>
      <w:szCs w:val="18"/>
    </w:rPr>
  </w:style>
  <w:style w:type="character" w:customStyle="1" w:styleId="22">
    <w:name w:val="批注文字 字符"/>
    <w:link w:val="6"/>
    <w:qFormat/>
    <w:uiPriority w:val="0"/>
    <w:rPr>
      <w:rFonts w:ascii="Times New Roman" w:hAnsi="Times New Roman"/>
      <w:kern w:val="2"/>
      <w:sz w:val="21"/>
      <w:szCs w:val="24"/>
    </w:rPr>
  </w:style>
  <w:style w:type="character" w:customStyle="1" w:styleId="23">
    <w:name w:val="标题 3 字符"/>
    <w:link w:val="4"/>
    <w:semiHidden/>
    <w:qFormat/>
    <w:uiPriority w:val="0"/>
    <w:rPr>
      <w:rFonts w:ascii="Times New Roman" w:hAnsi="Times New Roman"/>
      <w:b/>
      <w:bCs/>
      <w:kern w:val="2"/>
      <w:sz w:val="32"/>
      <w:szCs w:val="32"/>
    </w:rPr>
  </w:style>
  <w:style w:type="character" w:customStyle="1" w:styleId="24">
    <w:name w:val="fontstyle41"/>
    <w:qFormat/>
    <w:uiPriority w:val="0"/>
    <w:rPr>
      <w:rFonts w:hint="eastAsia" w:ascii="宋体" w:hAnsi="宋体" w:eastAsia="宋体"/>
      <w:color w:val="000000"/>
      <w:sz w:val="18"/>
      <w:szCs w:val="18"/>
    </w:rPr>
  </w:style>
  <w:style w:type="character" w:customStyle="1" w:styleId="25">
    <w:name w:val="批注框文本 字符"/>
    <w:link w:val="9"/>
    <w:qFormat/>
    <w:uiPriority w:val="0"/>
    <w:rPr>
      <w:rFonts w:ascii="Times New Roman" w:hAnsi="Times New Roman"/>
      <w:kern w:val="2"/>
      <w:sz w:val="18"/>
      <w:szCs w:val="18"/>
    </w:rPr>
  </w:style>
  <w:style w:type="character" w:customStyle="1" w:styleId="26">
    <w:name w:val="标题 2 字符"/>
    <w:link w:val="3"/>
    <w:semiHidden/>
    <w:qFormat/>
    <w:uiPriority w:val="0"/>
    <w:rPr>
      <w:rFonts w:ascii="Calibri Light" w:hAnsi="Calibri Light" w:eastAsia="宋体" w:cs="Times New Roman"/>
      <w:b/>
      <w:bCs/>
      <w:kern w:val="2"/>
      <w:sz w:val="32"/>
      <w:szCs w:val="32"/>
    </w:rPr>
  </w:style>
  <w:style w:type="character" w:customStyle="1" w:styleId="27">
    <w:name w:val="批注主题 字符"/>
    <w:link w:val="14"/>
    <w:qFormat/>
    <w:uiPriority w:val="0"/>
    <w:rPr>
      <w:rFonts w:ascii="Times New Roman" w:hAnsi="Times New Roman"/>
      <w:b/>
      <w:bCs/>
      <w:kern w:val="2"/>
      <w:sz w:val="21"/>
      <w:szCs w:val="24"/>
    </w:rPr>
  </w:style>
  <w:style w:type="paragraph" w:customStyle="1" w:styleId="28">
    <w:name w:val="附录一级条标题"/>
    <w:basedOn w:val="29"/>
    <w:next w:val="30"/>
    <w:qFormat/>
    <w:uiPriority w:val="0"/>
    <w:pPr>
      <w:numPr>
        <w:ilvl w:val="2"/>
      </w:numPr>
      <w:autoSpaceDN w:val="0"/>
      <w:spacing w:before="50" w:beforeLines="50" w:after="50" w:afterLines="50"/>
      <w:outlineLvl w:val="2"/>
    </w:pPr>
  </w:style>
  <w:style w:type="paragraph" w:customStyle="1" w:styleId="29">
    <w:name w:val="附录章标题"/>
    <w:next w:val="30"/>
    <w:qFormat/>
    <w:uiPriority w:val="0"/>
    <w:pPr>
      <w:numPr>
        <w:ilvl w:val="1"/>
        <w:numId w:val="1"/>
      </w:numPr>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szCs w:val="22"/>
      <w:lang w:val="en-US" w:eastAsia="zh-CN" w:bidi="ar-SA"/>
    </w:rPr>
  </w:style>
  <w:style w:type="paragraph" w:customStyle="1" w:styleId="3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31">
    <w:name w:val="TOC 标题1"/>
    <w:basedOn w:val="2"/>
    <w:next w:val="1"/>
    <w:unhideWhenUsed/>
    <w:qFormat/>
    <w:uiPriority w:val="39"/>
    <w:pPr>
      <w:keepNext/>
      <w:keepLines/>
      <w:spacing w:before="240" w:beforeAutospacing="0" w:after="0" w:afterAutospacing="0" w:line="259" w:lineRule="auto"/>
      <w:outlineLvl w:val="9"/>
    </w:pPr>
    <w:rPr>
      <w:rFonts w:ascii="Calibri Light" w:hAnsi="Calibri Light" w:cs="Times New Roman"/>
      <w:b w:val="0"/>
      <w:bCs w:val="0"/>
      <w:color w:val="2E75B5"/>
      <w:kern w:val="0"/>
      <w:sz w:val="32"/>
      <w:szCs w:val="32"/>
    </w:rPr>
  </w:style>
  <w:style w:type="paragraph" w:customStyle="1" w:styleId="32">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33">
    <w:name w:val="章标题"/>
    <w:next w:val="30"/>
    <w:qFormat/>
    <w:uiPriority w:val="0"/>
    <w:pPr>
      <w:spacing w:before="312" w:beforeLines="100" w:after="312" w:afterLines="100"/>
      <w:jc w:val="both"/>
      <w:outlineLvl w:val="1"/>
    </w:pPr>
    <w:rPr>
      <w:rFonts w:ascii="黑体" w:hAnsi="Times New Roman" w:eastAsia="黑体" w:cs="Times New Roman"/>
      <w:sz w:val="21"/>
      <w:szCs w:val="22"/>
      <w:lang w:val="en-US" w:eastAsia="zh-CN" w:bidi="ar-SA"/>
    </w:rPr>
  </w:style>
  <w:style w:type="paragraph" w:customStyle="1" w:styleId="34">
    <w:name w:val="前言、引言标题"/>
    <w:next w:val="30"/>
    <w:qFormat/>
    <w:uiPriority w:val="0"/>
    <w:pPr>
      <w:keepNext/>
      <w:pageBreakBefore/>
      <w:shd w:val="clear" w:color="FFFFFF" w:fill="FFFFFF"/>
      <w:spacing w:before="640" w:after="560"/>
      <w:jc w:val="center"/>
      <w:outlineLvl w:val="0"/>
    </w:pPr>
    <w:rPr>
      <w:rFonts w:ascii="黑体" w:hAnsi="Times New Roman" w:eastAsia="黑体" w:cs="Times New Roman"/>
      <w:sz w:val="32"/>
      <w:szCs w:val="22"/>
      <w:lang w:val="en-US" w:eastAsia="zh-CN" w:bidi="ar-SA"/>
    </w:rPr>
  </w:style>
  <w:style w:type="paragraph" w:customStyle="1" w:styleId="35">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36">
    <w:name w:val="目次、标准名称标题"/>
    <w:basedOn w:val="1"/>
    <w:next w:val="30"/>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37">
    <w:name w:val="列表段落2"/>
    <w:basedOn w:val="1"/>
    <w:qFormat/>
    <w:uiPriority w:val="34"/>
    <w:pPr>
      <w:ind w:firstLine="420" w:firstLineChars="200"/>
    </w:pPr>
    <w:rPr>
      <w:rFonts w:ascii="Calibri" w:hAnsi="Calibri"/>
      <w:szCs w:val="22"/>
    </w:rPr>
  </w:style>
  <w:style w:type="paragraph" w:customStyle="1" w:styleId="38">
    <w:name w:val="封面标准英文名称"/>
    <w:basedOn w:val="39"/>
    <w:qFormat/>
    <w:uiPriority w:val="0"/>
    <w:pPr>
      <w:framePr/>
      <w:spacing w:before="370" w:line="400" w:lineRule="exact"/>
    </w:pPr>
    <w:rPr>
      <w:rFonts w:ascii="Times New Roman"/>
      <w:sz w:val="28"/>
      <w:szCs w:val="28"/>
    </w:rPr>
  </w:style>
  <w:style w:type="paragraph" w:customStyle="1" w:styleId="3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szCs w:val="22"/>
      <w:lang w:val="en-US" w:eastAsia="zh-CN" w:bidi="ar-SA"/>
    </w:rPr>
  </w:style>
  <w:style w:type="paragraph" w:customStyle="1" w:styleId="40">
    <w:name w:val="字母编号列项（一级）"/>
    <w:qFormat/>
    <w:uiPriority w:val="0"/>
    <w:pPr>
      <w:numPr>
        <w:ilvl w:val="0"/>
        <w:numId w:val="2"/>
      </w:numPr>
      <w:jc w:val="both"/>
    </w:pPr>
    <w:rPr>
      <w:rFonts w:ascii="宋体" w:hAnsi="Times New Roman" w:eastAsia="宋体" w:cs="Times New Roman"/>
      <w:sz w:val="21"/>
      <w:szCs w:val="22"/>
      <w:lang w:val="en-US" w:eastAsia="zh-CN" w:bidi="ar-SA"/>
    </w:rPr>
  </w:style>
  <w:style w:type="paragraph" w:customStyle="1" w:styleId="41">
    <w:name w:val="附录标识"/>
    <w:basedOn w:val="1"/>
    <w:next w:val="30"/>
    <w:qFormat/>
    <w:uiPriority w:val="0"/>
    <w:pPr>
      <w:keepNext/>
      <w:widowControl/>
      <w:numPr>
        <w:ilvl w:val="0"/>
        <w:numId w:val="1"/>
      </w:numPr>
      <w:shd w:val="clear" w:color="FFFFFF" w:fill="FFFFFF"/>
      <w:tabs>
        <w:tab w:val="left" w:pos="6405"/>
      </w:tabs>
      <w:spacing w:before="640" w:after="280"/>
      <w:jc w:val="center"/>
      <w:outlineLvl w:val="0"/>
    </w:pPr>
    <w:rPr>
      <w:rFonts w:ascii="黑体" w:eastAsia="黑体"/>
      <w:kern w:val="0"/>
      <w:szCs w:val="20"/>
    </w:rPr>
  </w:style>
  <w:style w:type="paragraph" w:customStyle="1" w:styleId="42">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43">
    <w:name w:val="列表段落3"/>
    <w:basedOn w:val="1"/>
    <w:qFormat/>
    <w:uiPriority w:val="34"/>
    <w:pPr>
      <w:ind w:firstLine="420" w:firstLineChars="200"/>
    </w:pPr>
  </w:style>
  <w:style w:type="paragraph" w:customStyle="1" w:styleId="44">
    <w:name w:val="三级条标题"/>
    <w:basedOn w:val="45"/>
    <w:next w:val="30"/>
    <w:qFormat/>
    <w:uiPriority w:val="0"/>
    <w:pPr>
      <w:outlineLvl w:val="4"/>
    </w:pPr>
  </w:style>
  <w:style w:type="paragraph" w:customStyle="1" w:styleId="45">
    <w:name w:val="二级条标题"/>
    <w:basedOn w:val="46"/>
    <w:next w:val="30"/>
    <w:qFormat/>
    <w:uiPriority w:val="0"/>
    <w:pPr>
      <w:outlineLvl w:val="3"/>
    </w:pPr>
  </w:style>
  <w:style w:type="paragraph" w:customStyle="1" w:styleId="46">
    <w:name w:val="一级条标题"/>
    <w:next w:val="2"/>
    <w:qFormat/>
    <w:uiPriority w:val="0"/>
    <w:pPr>
      <w:spacing w:before="50" w:beforeLines="50" w:after="50" w:afterLines="50"/>
      <w:outlineLvl w:val="2"/>
    </w:pPr>
    <w:rPr>
      <w:rFonts w:ascii="黑体" w:hAnsi="黑体" w:eastAsia="黑体" w:cs="Times New Roman"/>
      <w:sz w:val="21"/>
      <w:szCs w:val="21"/>
      <w:lang w:val="en-US" w:eastAsia="zh-CN" w:bidi="ar-SA"/>
    </w:rPr>
  </w:style>
  <w:style w:type="paragraph" w:customStyle="1" w:styleId="47">
    <w:name w:val="附录三级条标题"/>
    <w:basedOn w:val="48"/>
    <w:next w:val="30"/>
    <w:qFormat/>
    <w:uiPriority w:val="0"/>
    <w:pPr>
      <w:numPr>
        <w:ilvl w:val="4"/>
      </w:numPr>
      <w:outlineLvl w:val="4"/>
    </w:pPr>
  </w:style>
  <w:style w:type="paragraph" w:customStyle="1" w:styleId="48">
    <w:name w:val="附录二级条标题"/>
    <w:basedOn w:val="1"/>
    <w:next w:val="30"/>
    <w:qFormat/>
    <w:uiPriority w:val="0"/>
    <w:pPr>
      <w:widowControl/>
      <w:numPr>
        <w:ilvl w:val="3"/>
        <w:numId w:val="1"/>
      </w:numPr>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49">
    <w:name w:val="列表段落1"/>
    <w:basedOn w:val="1"/>
    <w:qFormat/>
    <w:uiPriority w:val="34"/>
    <w:pPr>
      <w:numPr>
        <w:ilvl w:val="0"/>
        <w:numId w:val="3"/>
      </w:numPr>
      <w:ind w:firstLine="0"/>
    </w:pPr>
    <w:rPr>
      <w:rFonts w:ascii="Calibri" w:hAnsi="Calibri"/>
      <w:b/>
      <w:bCs/>
    </w:rPr>
  </w:style>
  <w:style w:type="paragraph" w:customStyle="1" w:styleId="50">
    <w:name w:val="附录四级条标题"/>
    <w:basedOn w:val="47"/>
    <w:next w:val="30"/>
    <w:qFormat/>
    <w:uiPriority w:val="0"/>
    <w:pPr>
      <w:numPr>
        <w:ilvl w:val="5"/>
      </w:numPr>
      <w:outlineLvl w:val="5"/>
    </w:pPr>
  </w:style>
  <w:style w:type="paragraph" w:customStyle="1" w:styleId="51">
    <w:name w:val="封面一致性程度标识"/>
    <w:basedOn w:val="38"/>
    <w:qFormat/>
    <w:uiPriority w:val="0"/>
    <w:pPr>
      <w:framePr/>
      <w:spacing w:before="440"/>
    </w:pPr>
    <w:rPr>
      <w:rFonts w:ascii="宋体" w:eastAsia="宋体"/>
    </w:rPr>
  </w:style>
  <w:style w:type="paragraph" w:styleId="5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2437</Words>
  <Characters>13891</Characters>
  <Lines>115</Lines>
  <Paragraphs>32</Paragraphs>
  <TotalTime>1</TotalTime>
  <ScaleCrop>false</ScaleCrop>
  <LinksUpToDate>false</LinksUpToDate>
  <CharactersWithSpaces>16296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2021-02-07T01:57:00Z</dcterms:created>
  <dc:creator>82642</dc:creator>
  <cp:lastModifiedBy>崔宇迪</cp:lastModifiedBy>
  <dcterms:modified xsi:type="dcterms:W3CDTF">2021-02-08T03:44:36Z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